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0" w:type="dxa"/>
        <w:jc w:val="right"/>
        <w:tblInd w:w="0" w:type="dxa"/>
        <w:tblLayout w:type="fixed"/>
        <w:tblCellMar>
          <w:top w:w="0" w:type="dxa"/>
          <w:left w:w="108" w:type="dxa"/>
          <w:bottom w:w="0" w:type="dxa"/>
          <w:right w:w="108" w:type="dxa"/>
        </w:tblCellMar>
        <w:tblLook w:firstRow="1" w:noVBand="1" w:lastRow="0" w:firstColumn="1" w:lastColumn="0" w:noHBand="0" w:val="04a0"/>
      </w:tblPr>
      <w:tblGrid>
        <w:gridCol w:w="3201"/>
        <w:gridCol w:w="3340"/>
        <w:gridCol w:w="3479"/>
      </w:tblGrid>
      <w:tr>
        <w:trPr>
          <w:trHeight w:val="1125" w:hRule="atLeast"/>
          <w:cantSplit w:val="true"/>
        </w:trPr>
        <w:tc>
          <w:tcPr>
            <w:tcW w:w="320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right="-1" w:hanging="0"/>
              <w:rPr>
                <w:rFonts w:ascii="Calibri" w:hAnsi="Calibri" w:eastAsia="Calibri" w:cs="Calibri"/>
                <w:sz w:val="20"/>
                <w:szCs w:val="20"/>
                <w:highlight w:val="yellow"/>
                <w:lang w:eastAsia="it-IT"/>
              </w:rPr>
            </w:pPr>
            <w:r>
              <w:rPr/>
              <w:drawing>
                <wp:inline distT="0" distB="0" distL="0" distR="0">
                  <wp:extent cx="4749165" cy="105092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197" t="-1118" r="-197" b="-1118"/>
                          <a:stretch>
                            <a:fillRect/>
                          </a:stretch>
                        </pic:blipFill>
                        <pic:spPr bwMode="auto">
                          <a:xfrm>
                            <a:off x="0" y="0"/>
                            <a:ext cx="4749165" cy="1050925"/>
                          </a:xfrm>
                          <a:prstGeom prst="rect">
                            <a:avLst/>
                          </a:prstGeom>
                        </pic:spPr>
                      </pic:pic>
                    </a:graphicData>
                  </a:graphic>
                </wp:inline>
              </w:drawing>
            </w:r>
          </w:p>
        </w:tc>
        <w:tc>
          <w:tcPr>
            <w:tcW w:w="3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right="-1" w:hanging="0"/>
              <w:jc w:val="center"/>
              <w:rPr>
                <w:rFonts w:ascii="Calibri" w:hAnsi="Calibri" w:eastAsia="Calibri" w:cs="Calibri"/>
                <w:b/>
                <w:b/>
                <w:sz w:val="28"/>
                <w:szCs w:val="28"/>
                <w:highlight w:val="yellow"/>
                <w:lang w:eastAsia="it-IT"/>
              </w:rPr>
            </w:pPr>
            <w:r>
              <w:rPr>
                <w:rFonts w:eastAsia="Calibri" w:cs="Calibri"/>
                <w:b/>
                <w:sz w:val="28"/>
                <w:szCs w:val="28"/>
                <w:highlight w:val="yellow"/>
                <w:lang w:eastAsia="it-IT"/>
              </w:rPr>
            </w:r>
          </w:p>
          <w:p>
            <w:pPr>
              <w:pStyle w:val="Normal"/>
              <w:widowControl w:val="false"/>
              <w:suppressAutoHyphens w:val="true"/>
              <w:spacing w:lineRule="auto" w:line="240" w:before="0" w:after="0"/>
              <w:ind w:right="-1" w:hanging="0"/>
              <w:jc w:val="center"/>
              <w:rPr>
                <w:rFonts w:ascii="Calibri" w:hAnsi="Calibri" w:eastAsia="Calibri" w:cs="Calibri"/>
                <w:sz w:val="20"/>
                <w:szCs w:val="20"/>
                <w:highlight w:val="yellow"/>
                <w:lang w:eastAsia="it-IT"/>
              </w:rPr>
            </w:pPr>
            <w:r>
              <w:rPr>
                <w:rFonts w:eastAsia="Calibri" w:cs="Calibri"/>
                <w:sz w:val="20"/>
                <w:szCs w:val="20"/>
                <w:highlight w:val="yellow"/>
                <w:lang w:eastAsia="it-IT"/>
              </w:rPr>
            </w:r>
          </w:p>
        </w:tc>
        <w:tc>
          <w:tcPr>
            <w:tcW w:w="347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uppressAutoHyphens w:val="true"/>
              <w:spacing w:lineRule="auto" w:line="240" w:before="0" w:after="0"/>
              <w:ind w:right="-286" w:hanging="0"/>
              <w:rPr>
                <w:rFonts w:ascii="Calibri" w:hAnsi="Calibri" w:eastAsia="Calibri" w:cs="Calibri"/>
                <w:sz w:val="20"/>
                <w:szCs w:val="20"/>
                <w:lang w:eastAsia="it-IT"/>
              </w:rPr>
            </w:pPr>
            <w:r>
              <w:rPr>
                <w:rFonts w:eastAsia="Calibri" w:cs="Calibri"/>
                <w:sz w:val="20"/>
                <w:szCs w:val="20"/>
                <w:lang w:eastAsia="it-IT"/>
              </w:rPr>
            </w:r>
          </w:p>
          <w:p>
            <w:pPr>
              <w:pStyle w:val="Normal"/>
              <w:widowControl w:val="false"/>
              <w:suppressAutoHyphens w:val="true"/>
              <w:spacing w:lineRule="auto" w:line="240" w:before="0" w:after="0"/>
              <w:ind w:right="-286" w:hanging="0"/>
              <w:rPr>
                <w:rFonts w:ascii="Calibri" w:hAnsi="Calibri" w:eastAsia="Calibri" w:cs="Calibri"/>
                <w:b/>
                <w:b/>
                <w:sz w:val="20"/>
                <w:szCs w:val="20"/>
                <w:lang w:eastAsia="it-IT"/>
              </w:rPr>
            </w:pPr>
            <w:r>
              <w:rPr>
                <w:rFonts w:eastAsia="Calibri" w:cs="Calibri"/>
                <w:b/>
                <w:sz w:val="20"/>
                <w:szCs w:val="20"/>
                <w:lang w:eastAsia="it-IT"/>
              </w:rPr>
              <w:t>ASL TO4</w:t>
            </w:r>
          </w:p>
          <w:p>
            <w:pPr>
              <w:pStyle w:val="Normal"/>
              <w:widowControl w:val="false"/>
              <w:suppressAutoHyphens w:val="true"/>
              <w:spacing w:lineRule="auto" w:line="240" w:before="0" w:after="0"/>
              <w:ind w:right="-1" w:hanging="0"/>
              <w:rPr>
                <w:rFonts w:ascii="Calibri" w:hAnsi="Calibri" w:eastAsia="Calibri" w:cs="Calibri"/>
                <w:sz w:val="20"/>
                <w:szCs w:val="20"/>
                <w:lang w:eastAsia="it-IT"/>
              </w:rPr>
            </w:pPr>
            <w:r>
              <w:rPr>
                <w:rFonts w:eastAsia="Times New Roman" w:cs="Calibri"/>
                <w:b/>
                <w:sz w:val="20"/>
                <w:szCs w:val="20"/>
                <w:lang w:eastAsia="it-IT"/>
              </w:rPr>
              <w:t>N° GARA SIMOG</w:t>
            </w:r>
            <w:r>
              <w:rPr>
                <w:rFonts w:eastAsia="Times New Roman" w:cs="Calibri"/>
                <w:sz w:val="20"/>
                <w:szCs w:val="20"/>
                <w:lang w:eastAsia="it-IT"/>
              </w:rPr>
              <w:t xml:space="preserve">: </w:t>
            </w:r>
            <w:r>
              <w:rPr>
                <w:rFonts w:eastAsia="Times New Roman" w:cs="Calibri"/>
                <w:b/>
                <w:sz w:val="20"/>
                <w:szCs w:val="20"/>
                <w:lang w:eastAsia="it-IT"/>
              </w:rPr>
              <w:t>9392611</w:t>
            </w:r>
            <w:bookmarkStart w:id="0" w:name="_GoBack"/>
            <w:bookmarkEnd w:id="0"/>
          </w:p>
        </w:tc>
      </w:tr>
    </w:tbl>
    <w:p>
      <w:pPr>
        <w:pStyle w:val="Normal"/>
        <w:tabs>
          <w:tab w:val="clear" w:pos="708"/>
          <w:tab w:val="center" w:pos="4819" w:leader="none"/>
          <w:tab w:val="right" w:pos="9638" w:leader="none"/>
        </w:tabs>
        <w:suppressAutoHyphens w:val="true"/>
        <w:spacing w:lineRule="auto" w:line="240" w:before="0" w:after="0"/>
        <w:ind w:right="-1" w:hanging="0"/>
        <w:rPr>
          <w:rFonts w:ascii="Calibri" w:hAnsi="Calibri" w:eastAsia="Times New Roman" w:cs="Calibri"/>
          <w:sz w:val="20"/>
          <w:szCs w:val="20"/>
          <w:lang w:eastAsia="ar-SA"/>
        </w:rPr>
      </w:pPr>
      <w:r>
        <w:rPr>
          <w:rFonts w:eastAsia="Times New Roman" w:cs="Calibri"/>
          <w:sz w:val="20"/>
          <w:szCs w:val="20"/>
          <w:lang w:eastAsia="ar-SA"/>
        </w:rPr>
      </w:r>
    </w:p>
    <w:p>
      <w:pPr>
        <w:pStyle w:val="Normal"/>
        <w:suppressAutoHyphens w:val="true"/>
        <w:spacing w:lineRule="auto" w:line="240" w:before="0" w:after="0"/>
        <w:ind w:right="-1" w:hanging="0"/>
        <w:jc w:val="center"/>
        <w:rPr>
          <w:rFonts w:ascii="Arial" w:hAnsi="Arial" w:eastAsia="Calibri" w:cs="Arial"/>
          <w:b/>
          <w:b/>
          <w:sz w:val="24"/>
          <w:szCs w:val="24"/>
          <w:lang w:eastAsia="it-IT"/>
        </w:rPr>
      </w:pPr>
      <w:r>
        <w:rPr>
          <w:rFonts w:eastAsia="Calibri" w:cs="Arial" w:ascii="Arial" w:hAnsi="Arial"/>
          <w:b/>
          <w:sz w:val="24"/>
          <w:szCs w:val="24"/>
          <w:lang w:eastAsia="it-IT"/>
        </w:rPr>
        <w:t xml:space="preserve">DOMANDA DI PARTECIPAZIONE E DICHIARAZIONE INTEGRATIVA </w:t>
      </w:r>
    </w:p>
    <w:p>
      <w:pPr>
        <w:pStyle w:val="Normal"/>
        <w:suppressAutoHyphens w:val="true"/>
        <w:spacing w:lineRule="auto" w:line="240" w:before="0" w:after="0"/>
        <w:ind w:right="-1" w:hanging="0"/>
        <w:jc w:val="center"/>
        <w:rPr>
          <w:rFonts w:ascii="Arial" w:hAnsi="Arial" w:eastAsia="Calibri" w:cs="Arial"/>
          <w:b/>
          <w:b/>
          <w:sz w:val="24"/>
          <w:szCs w:val="24"/>
          <w:lang w:eastAsia="it-IT"/>
        </w:rPr>
      </w:pPr>
      <w:r>
        <w:rPr>
          <w:rFonts w:eastAsia="Calibri" w:cs="Arial" w:ascii="Arial" w:hAnsi="Arial"/>
          <w:b/>
          <w:sz w:val="24"/>
          <w:szCs w:val="24"/>
          <w:lang w:eastAsia="it-IT"/>
        </w:rPr>
        <w:t>(resa e sottoscritta ai sensi degli artt. 46 e 47 del D.P.R. 445/2000 )</w:t>
      </w:r>
    </w:p>
    <w:p>
      <w:pPr>
        <w:pStyle w:val="Normal"/>
        <w:suppressAutoHyphens w:val="true"/>
        <w:spacing w:lineRule="auto" w:line="240" w:before="0" w:after="0"/>
        <w:ind w:right="-1" w:hanging="0"/>
        <w:rPr>
          <w:rFonts w:ascii="Arial" w:hAnsi="Arial" w:eastAsia="Calibri" w:cs="Arial"/>
          <w:sz w:val="20"/>
          <w:szCs w:val="20"/>
          <w:u w:val="single"/>
          <w:lang w:eastAsia="it-IT"/>
        </w:rPr>
      </w:pPr>
      <w:r>
        <w:rPr>
          <w:rFonts w:eastAsia="Calibri" w:cs="Arial" w:ascii="Arial" w:hAnsi="Arial"/>
          <w:sz w:val="20"/>
          <w:szCs w:val="20"/>
          <w:u w:val="single"/>
          <w:lang w:eastAsia="it-IT"/>
        </w:rPr>
      </w:r>
    </w:p>
    <w:p>
      <w:pPr>
        <w:pStyle w:val="Normal"/>
        <w:suppressAutoHyphens w:val="true"/>
        <w:spacing w:lineRule="auto" w:line="240" w:before="0" w:after="0"/>
        <w:ind w:right="-1" w:hanging="0"/>
        <w:rPr>
          <w:rFonts w:ascii="Arial" w:hAnsi="Arial" w:eastAsia="Calibri" w:cs="Arial"/>
          <w:b/>
          <w:b/>
          <w:sz w:val="28"/>
          <w:szCs w:val="28"/>
          <w:lang w:eastAsia="it-IT"/>
        </w:rPr>
      </w:pPr>
      <w:r>
        <w:rPr>
          <w:rFonts w:eastAsia="Calibri" w:cs="Arial" w:ascii="Arial" w:hAnsi="Arial"/>
          <w:b/>
          <w:sz w:val="28"/>
          <w:szCs w:val="28"/>
          <w:lang w:eastAsia="it-IT"/>
        </w:rPr>
      </w:r>
    </w:p>
    <w:p>
      <w:pPr>
        <w:pStyle w:val="Normal"/>
        <w:spacing w:lineRule="auto" w:line="360" w:before="0" w:after="120"/>
        <w:jc w:val="center"/>
        <w:rPr/>
      </w:pPr>
      <w:r>
        <w:rPr>
          <w:rFonts w:cs="Calibri"/>
          <w:b/>
        </w:rPr>
        <w:t>PROCEDURA TELEMATICA APERTA, SUDDIVISA IN CINQUE LOTTI, PER  L’AFFIDAMENTO DELLA FORNITURA DI ADESIVO SINTETICO CUTANEO E CHIRURGICO PER LE AA.SS.LL.  TO4 E CITTÀ’ DI TORINO, PER UN PERIODO 36 MESI PIU’ EVENTUALI ULTERIORI 24 MESI DI RINNOVO</w:t>
      </w:r>
    </w:p>
    <w:p>
      <w:pPr>
        <w:pStyle w:val="Normal"/>
        <w:suppressAutoHyphens w:val="true"/>
        <w:spacing w:lineRule="auto" w:line="240" w:before="0" w:after="0"/>
        <w:ind w:right="-1" w:hanging="0"/>
        <w:rPr>
          <w:rFonts w:ascii="Arial" w:hAnsi="Arial" w:eastAsia="Calibri" w:cs="Arial"/>
          <w:u w:val="single"/>
          <w:lang w:eastAsia="it-IT"/>
        </w:rPr>
      </w:pPr>
      <w:r>
        <w:rPr>
          <w:rFonts w:eastAsia="Calibri" w:cs="Arial" w:ascii="Arial" w:hAnsi="Arial"/>
          <w:u w:val="single"/>
          <w:lang w:eastAsia="it-IT"/>
        </w:rPr>
      </w:r>
    </w:p>
    <w:p>
      <w:pPr>
        <w:pStyle w:val="Normal"/>
        <w:spacing w:lineRule="auto" w:line="360" w:beforeAutospacing="1" w:after="0"/>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Il sottoscritto __________, C.F. __________, nato a __________ il __________, domiciliato per la carica presso la sede societaria ove appresso, nella sua qualità di __________ e legale rappresentante della __________, con sede in __________, via __________, C.A.P. ____________, capitale sociale Euro __________ (__________), iscritta al Registro delle Imprese di __________ al n. __________, C.F. __________, partita IVA n. __________, Numero posizione INAIL __________, codice Cliente INAIL n. __________, (nel caso in cui le posizioni INAIL siano più di una occorre allegare il relativo elenco), Numero posizione INPS__________, Numero Matricola INPS __________(nel caso in cui le posizioni INPS siano più di una occorre </w:t>
      </w:r>
      <w:r>
        <w:rPr>
          <w:rFonts w:eastAsia="Times New Roman" w:cs="Arial" w:ascii="Arial" w:hAnsi="Arial"/>
          <w:i/>
          <w:iCs/>
          <w:sz w:val="20"/>
          <w:szCs w:val="20"/>
          <w:lang w:eastAsia="it-IT"/>
        </w:rPr>
        <w:t>allegare il relativo elenco</w:t>
      </w:r>
      <w:r>
        <w:rPr>
          <w:rFonts w:eastAsia="Times New Roman" w:cs="Arial" w:ascii="Arial" w:hAnsi="Arial"/>
          <w:sz w:val="20"/>
          <w:szCs w:val="20"/>
          <w:lang w:eastAsia="it-IT"/>
        </w:rPr>
        <w:t>), CCNL applicato______________ (di seguito denominata “Impresa”);</w:t>
      </w:r>
    </w:p>
    <w:p>
      <w:pPr>
        <w:pStyle w:val="Normal"/>
        <w:suppressAutoHyphens w:val="true"/>
        <w:spacing w:lineRule="auto" w:line="240" w:before="0" w:after="0"/>
        <w:ind w:right="-1" w:hanging="0"/>
        <w:jc w:val="center"/>
        <w:rPr>
          <w:rFonts w:ascii="Arial" w:hAnsi="Arial" w:eastAsia="Calibri" w:cs="Arial"/>
          <w:sz w:val="24"/>
          <w:szCs w:val="24"/>
          <w:lang w:eastAsia="it-IT"/>
        </w:rPr>
      </w:pPr>
      <w:r>
        <w:rPr>
          <w:rFonts w:eastAsia="Calibri" w:cs="Arial" w:ascii="Arial" w:hAnsi="Arial"/>
          <w:b/>
          <w:caps/>
          <w:sz w:val="24"/>
          <w:szCs w:val="24"/>
          <w:lang w:eastAsia="it-IT"/>
        </w:rPr>
        <w:t xml:space="preserve">CHIEDE </w:t>
      </w:r>
    </w:p>
    <w:p>
      <w:pPr>
        <w:pStyle w:val="Normal"/>
        <w:suppressAutoHyphens w:val="true"/>
        <w:spacing w:lineRule="auto" w:line="240" w:before="0" w:after="0"/>
        <w:ind w:right="-1" w:hanging="0"/>
        <w:jc w:val="both"/>
        <w:rPr>
          <w:rFonts w:ascii="Arial" w:hAnsi="Arial" w:eastAsia="Calibri" w:cs="Arial"/>
          <w:sz w:val="24"/>
          <w:szCs w:val="24"/>
          <w:lang w:eastAsia="it-IT"/>
        </w:rPr>
      </w:pPr>
      <w:r>
        <w:rPr>
          <w:rFonts w:eastAsia="Calibri" w:cs="Arial" w:ascii="Arial" w:hAnsi="Arial"/>
          <w:sz w:val="24"/>
          <w:szCs w:val="24"/>
          <w:lang w:eastAsia="it-IT"/>
        </w:rPr>
      </w:r>
    </w:p>
    <w:p>
      <w:pPr>
        <w:pStyle w:val="Normal"/>
        <w:suppressAutoHyphens w:val="true"/>
        <w:spacing w:lineRule="auto" w:line="240" w:before="0" w:after="0"/>
        <w:ind w:right="-1" w:hanging="0"/>
        <w:jc w:val="both"/>
        <w:rPr>
          <w:rFonts w:ascii="Arial" w:hAnsi="Arial" w:eastAsia="Calibri" w:cs="Arial"/>
          <w:sz w:val="20"/>
          <w:szCs w:val="20"/>
          <w:lang w:eastAsia="it-IT"/>
        </w:rPr>
      </w:pPr>
      <w:r>
        <w:rPr>
          <w:rFonts w:eastAsia="Calibri" w:cs="Arial" w:ascii="Arial" w:hAnsi="Arial"/>
          <w:sz w:val="20"/>
          <w:szCs w:val="20"/>
          <w:lang w:eastAsia="it-IT"/>
        </w:rPr>
        <w:t>di partecipare alla gara di cui all’oggetto in qualità di:</w:t>
      </w:r>
    </w:p>
    <w:p>
      <w:pPr>
        <w:pStyle w:val="Normal"/>
        <w:suppressAutoHyphens w:val="true"/>
        <w:spacing w:lineRule="auto" w:line="240" w:before="0" w:after="0"/>
        <w:ind w:right="-1" w:hanging="0"/>
        <w:jc w:val="both"/>
        <w:rPr>
          <w:rFonts w:ascii="Arial" w:hAnsi="Arial" w:eastAsia="Calibri" w:cs="Arial"/>
          <w:sz w:val="24"/>
          <w:szCs w:val="24"/>
          <w:lang w:eastAsia="it-IT"/>
        </w:rPr>
      </w:pPr>
      <w:r>
        <w:rPr>
          <w:rFonts w:eastAsia="Calibri" w:cs="Arial" w:ascii="Arial" w:hAnsi="Arial"/>
          <w:sz w:val="24"/>
          <w:szCs w:val="24"/>
          <w:lang w:eastAsia="it-IT"/>
        </w:rPr>
      </w:r>
    </w:p>
    <w:p>
      <w:pPr>
        <w:pStyle w:val="Normal"/>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b/>
          <w:bCs/>
          <w:sz w:val="20"/>
          <w:szCs w:val="20"/>
          <w:lang w:eastAsia="it-IT"/>
        </w:rPr>
        <w:t>impresa individuale</w:t>
      </w:r>
      <w:r>
        <w:rPr>
          <w:rFonts w:eastAsia="Times New Roman" w:cs="Arial" w:ascii="Arial" w:hAnsi="Arial"/>
          <w:sz w:val="20"/>
          <w:szCs w:val="20"/>
          <w:lang w:eastAsia="it-IT"/>
        </w:rPr>
        <w:t xml:space="preserve"> (ex art 65, comma 2, lett. a) del Codice);</w:t>
      </w:r>
    </w:p>
    <w:p>
      <w:pPr>
        <w:pStyle w:val="Normal"/>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b/>
          <w:bCs/>
          <w:sz w:val="20"/>
          <w:szCs w:val="20"/>
          <w:lang w:eastAsia="it-IT"/>
        </w:rPr>
        <w:t xml:space="preserve">società </w:t>
      </w:r>
      <w:r>
        <w:rPr>
          <w:rFonts w:eastAsia="Times New Roman" w:cs="Arial" w:ascii="Arial" w:hAnsi="Arial"/>
          <w:sz w:val="20"/>
          <w:szCs w:val="20"/>
          <w:lang w:eastAsia="it-IT"/>
        </w:rPr>
        <w:t>(ex art. 65, comma 2, lett. a) del Codice;</w:t>
      </w:r>
    </w:p>
    <w:p>
      <w:pPr>
        <w:pStyle w:val="Normal"/>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b/>
          <w:bCs/>
          <w:sz w:val="20"/>
          <w:szCs w:val="20"/>
          <w:lang w:eastAsia="it-IT"/>
        </w:rPr>
        <w:t>consorzio di cooperative</w:t>
      </w:r>
      <w:r>
        <w:rPr>
          <w:rFonts w:eastAsia="Times New Roman" w:cs="Arial" w:ascii="Arial" w:hAnsi="Arial"/>
          <w:sz w:val="20"/>
          <w:szCs w:val="20"/>
          <w:lang w:eastAsia="it-IT"/>
        </w:rPr>
        <w:t xml:space="preserve"> ex art. 65, comma 2, lett. b) del Codice, indicando quale/i consorziata/e esecutrice/i la/le imprese:</w:t>
      </w:r>
    </w:p>
    <w:tbl>
      <w:tblPr>
        <w:tblStyle w:val="Grigliatabella1"/>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8"/>
        <w:gridCol w:w="2549"/>
        <w:gridCol w:w="2550"/>
        <w:gridCol w:w="2547"/>
      </w:tblGrid>
      <w:tr>
        <w:trPr/>
        <w:tc>
          <w:tcPr>
            <w:tcW w:w="254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Denominazione</w:t>
            </w:r>
          </w:p>
        </w:tc>
        <w:tc>
          <w:tcPr>
            <w:tcW w:w="254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P.IVA</w:t>
            </w:r>
          </w:p>
        </w:tc>
        <w:tc>
          <w:tcPr>
            <w:tcW w:w="255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Forma giuridica</w:t>
            </w:r>
          </w:p>
        </w:tc>
        <w:tc>
          <w:tcPr>
            <w:tcW w:w="2547"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Sede legale</w:t>
            </w:r>
          </w:p>
        </w:tc>
      </w:tr>
      <w:tr>
        <w:trPr/>
        <w:tc>
          <w:tcPr>
            <w:tcW w:w="254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4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5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47"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254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4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5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47"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bl>
    <w:p>
      <w:pPr>
        <w:pStyle w:val="Normal"/>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b/>
          <w:bCs/>
          <w:sz w:val="20"/>
          <w:szCs w:val="20"/>
          <w:lang w:eastAsia="it-IT"/>
        </w:rPr>
        <w:t>consorzio stabile</w:t>
      </w:r>
      <w:r>
        <w:rPr>
          <w:rFonts w:eastAsia="Times New Roman" w:cs="Arial" w:ascii="Arial" w:hAnsi="Arial"/>
          <w:sz w:val="20"/>
          <w:szCs w:val="20"/>
          <w:lang w:eastAsia="it-IT"/>
        </w:rPr>
        <w:t xml:space="preserve"> ex art. 45, comma 2, lett. c) del D.Lgs. 50/2016, che concorre con la/e seguente/i impresa/e consorziata/e:</w:t>
      </w:r>
    </w:p>
    <w:p>
      <w:pPr>
        <w:pStyle w:val="Normal"/>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r>
    </w:p>
    <w:tbl>
      <w:tblPr>
        <w:tblStyle w:val="Grigliatabella1"/>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48"/>
        <w:gridCol w:w="2549"/>
        <w:gridCol w:w="2550"/>
        <w:gridCol w:w="2547"/>
      </w:tblGrid>
      <w:tr>
        <w:trPr/>
        <w:tc>
          <w:tcPr>
            <w:tcW w:w="254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Denominazione</w:t>
            </w:r>
          </w:p>
        </w:tc>
        <w:tc>
          <w:tcPr>
            <w:tcW w:w="254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P.IVA</w:t>
            </w:r>
          </w:p>
        </w:tc>
        <w:tc>
          <w:tcPr>
            <w:tcW w:w="255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Forma giuridica</w:t>
            </w:r>
          </w:p>
        </w:tc>
        <w:tc>
          <w:tcPr>
            <w:tcW w:w="2547"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Sede legale</w:t>
            </w:r>
          </w:p>
        </w:tc>
      </w:tr>
      <w:tr>
        <w:trPr/>
        <w:tc>
          <w:tcPr>
            <w:tcW w:w="254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4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5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47"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254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4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5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547"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bl>
    <w:p>
      <w:pPr>
        <w:pStyle w:val="Normal"/>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b/>
          <w:bCs/>
          <w:sz w:val="20"/>
          <w:szCs w:val="20"/>
          <w:lang w:eastAsia="it-IT"/>
        </w:rPr>
        <w:t>capogruppo</w:t>
      </w:r>
      <w:r>
        <w:rPr>
          <w:rFonts w:eastAsia="Times New Roman" w:cs="Arial" w:ascii="Arial" w:hAnsi="Arial"/>
          <w:sz w:val="20"/>
          <w:szCs w:val="20"/>
          <w:lang w:eastAsia="it-IT"/>
        </w:rPr>
        <w:t xml:space="preserve"> </w:t>
      </w:r>
      <w:r>
        <w:rPr>
          <w:rFonts w:eastAsia="Times New Roman" w:cs="Arial" w:ascii="Arial" w:hAnsi="Arial"/>
          <w:b/>
          <w:bCs/>
          <w:sz w:val="20"/>
          <w:szCs w:val="20"/>
          <w:lang w:eastAsia="it-IT"/>
        </w:rPr>
        <w:t>di un raggruppamento temporaneo di imprese/consorzio ordinario di concorrenti/G.E.I.E.</w:t>
      </w:r>
      <w:r>
        <w:rPr>
          <w:rFonts w:eastAsia="Times New Roman" w:cs="Arial" w:ascii="Arial" w:hAnsi="Arial"/>
          <w:sz w:val="20"/>
          <w:szCs w:val="20"/>
          <w:lang w:eastAsia="it-IT"/>
        </w:rPr>
        <w:t xml:space="preserve"> ex art. 65, comma 2, lett. e), f), h) del Codice, </w:t>
      </w:r>
      <w:r>
        <w:rPr>
          <w:rFonts w:eastAsia="Times New Roman" w:cs="Arial" w:ascii="Arial" w:hAnsi="Arial"/>
          <w:b/>
          <w:bCs/>
          <w:sz w:val="20"/>
          <w:szCs w:val="20"/>
          <w:lang w:eastAsia="it-IT"/>
        </w:rPr>
        <w:t>già costituito</w:t>
      </w:r>
      <w:r>
        <w:rPr>
          <w:rFonts w:eastAsia="Times New Roman" w:cs="Arial" w:ascii="Arial" w:hAnsi="Arial"/>
          <w:sz w:val="20"/>
          <w:szCs w:val="20"/>
          <w:lang w:eastAsia="it-IT"/>
        </w:rPr>
        <w:t xml:space="preserve"> con le seguenti imprese: </w:t>
      </w:r>
    </w:p>
    <w:p>
      <w:pPr>
        <w:pStyle w:val="Normal"/>
        <w:suppressAutoHyphens w:val="true"/>
        <w:spacing w:lineRule="auto" w:line="240" w:before="0" w:after="120"/>
        <w:ind w:left="2408" w:right="-1" w:firstLine="424"/>
        <w:rPr>
          <w:rFonts w:ascii="Calibri" w:hAnsi="Calibri" w:eastAsia="Wingdings" w:cs="Calibri"/>
          <w:color w:val="000000"/>
          <w:sz w:val="20"/>
          <w:szCs w:val="20"/>
          <w:lang w:eastAsia="it-IT"/>
        </w:rPr>
      </w:pPr>
      <w:r>
        <w:rPr>
          <w:rFonts w:eastAsia="Wingdings" w:cs="Calibri"/>
          <w:color w:val="000000"/>
          <w:sz w:val="20"/>
          <w:szCs w:val="20"/>
          <w:lang w:eastAsia="it-IT"/>
        </w:rPr>
      </w:r>
    </w:p>
    <w:tbl>
      <w:tblPr>
        <w:tblStyle w:val="Grigliatabella1"/>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58"/>
        <w:gridCol w:w="1469"/>
        <w:gridCol w:w="1192"/>
        <w:gridCol w:w="1599"/>
        <w:gridCol w:w="1562"/>
        <w:gridCol w:w="1480"/>
        <w:gridCol w:w="1534"/>
      </w:tblGrid>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Ruolo</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Denominazione</w:t>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P.IVA</w:t>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Forma giuridica</w:t>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Sede legale</w:t>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Attività</w:t>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Quota di partecipazione</w:t>
            </w:r>
          </w:p>
        </w:tc>
      </w:tr>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Mandataria</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Mandante</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Mandante</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bl>
    <w:p>
      <w:pPr>
        <w:pStyle w:val="Normal"/>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b/>
          <w:bCs/>
          <w:sz w:val="20"/>
          <w:szCs w:val="20"/>
          <w:lang w:eastAsia="it-IT"/>
        </w:rPr>
        <w:t>capogruppo</w:t>
      </w:r>
      <w:r>
        <w:rPr>
          <w:rFonts w:eastAsia="Times New Roman" w:cs="Arial" w:ascii="Arial" w:hAnsi="Arial"/>
          <w:sz w:val="20"/>
          <w:szCs w:val="20"/>
          <w:lang w:eastAsia="it-IT"/>
        </w:rPr>
        <w:t xml:space="preserve"> </w:t>
      </w:r>
      <w:r>
        <w:rPr>
          <w:rFonts w:eastAsia="Times New Roman" w:cs="Arial" w:ascii="Arial" w:hAnsi="Arial"/>
          <w:b/>
          <w:bCs/>
          <w:sz w:val="20"/>
          <w:szCs w:val="20"/>
          <w:lang w:eastAsia="it-IT"/>
        </w:rPr>
        <w:t>di un raggruppamento temporaneo di imprese/consorzio ordinario di concorrenti/G.E.I.E</w:t>
      </w:r>
      <w:r>
        <w:rPr>
          <w:rFonts w:eastAsia="Times New Roman" w:cs="Arial" w:ascii="Arial" w:hAnsi="Arial"/>
          <w:sz w:val="20"/>
          <w:szCs w:val="20"/>
          <w:lang w:eastAsia="it-IT"/>
        </w:rPr>
        <w:t xml:space="preserve">. ex art. 65, comma 2, lett. e), f), h) del Codice </w:t>
      </w:r>
      <w:r>
        <w:rPr>
          <w:rFonts w:eastAsia="Times New Roman" w:cs="Arial" w:ascii="Arial" w:hAnsi="Arial"/>
          <w:b/>
          <w:bCs/>
          <w:sz w:val="20"/>
          <w:szCs w:val="20"/>
          <w:lang w:eastAsia="it-IT"/>
        </w:rPr>
        <w:t>non ancora costituito</w:t>
      </w:r>
      <w:r>
        <w:rPr>
          <w:rFonts w:eastAsia="Times New Roman" w:cs="Arial" w:ascii="Arial" w:hAnsi="Arial"/>
          <w:sz w:val="20"/>
          <w:szCs w:val="20"/>
          <w:lang w:eastAsia="it-IT"/>
        </w:rPr>
        <w:t xml:space="preserve"> con le seguenti imprese:</w:t>
      </w:r>
    </w:p>
    <w:tbl>
      <w:tblPr>
        <w:tblStyle w:val="Grigliatabella1"/>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58"/>
        <w:gridCol w:w="1469"/>
        <w:gridCol w:w="1192"/>
        <w:gridCol w:w="1599"/>
        <w:gridCol w:w="1562"/>
        <w:gridCol w:w="1480"/>
        <w:gridCol w:w="1534"/>
      </w:tblGrid>
      <w:tr>
        <w:trPr>
          <w:trHeight w:val="1042" w:hRule="atLeast"/>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Ruolo</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Denominazione</w:t>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P.IVA</w:t>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Forma giuridica</w:t>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Sede legale</w:t>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Attività</w:t>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Quota di partecipazione</w:t>
            </w:r>
          </w:p>
        </w:tc>
      </w:tr>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Mandataria</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Mandante</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Mandante</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bl>
    <w:p>
      <w:pPr>
        <w:pStyle w:val="Normal"/>
        <w:suppressAutoHyphens w:val="true"/>
        <w:spacing w:lineRule="auto" w:line="240" w:before="0" w:after="120"/>
        <w:ind w:left="2408" w:right="-1" w:firstLine="424"/>
        <w:rPr>
          <w:rFonts w:ascii="Calibri" w:hAnsi="Calibri" w:eastAsia="Wingdings" w:cs="Calibri"/>
          <w:color w:val="000000"/>
          <w:sz w:val="20"/>
          <w:szCs w:val="20"/>
          <w:lang w:eastAsia="it-IT"/>
        </w:rPr>
      </w:pPr>
      <w:r>
        <w:rPr>
          <w:rFonts w:eastAsia="Wingdings" w:cs="Calibri"/>
          <w:color w:val="000000"/>
          <w:sz w:val="20"/>
          <w:szCs w:val="20"/>
          <w:lang w:eastAsia="it-IT"/>
        </w:rPr>
      </w:r>
    </w:p>
    <w:p>
      <w:pPr>
        <w:pStyle w:val="Normal"/>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t xml:space="preserve">□  </w:t>
      </w:r>
      <w:r>
        <w:rPr>
          <w:rFonts w:eastAsia="Times New Roman" w:cs="Arial" w:ascii="Arial" w:hAnsi="Arial"/>
          <w:b/>
          <w:bCs/>
          <w:sz w:val="20"/>
          <w:szCs w:val="20"/>
          <w:lang w:eastAsia="it-IT"/>
        </w:rPr>
        <w:t>aggregazioni di imprese aderenti al contratto di rete</w:t>
      </w:r>
      <w:r>
        <w:rPr>
          <w:rFonts w:eastAsia="Times New Roman" w:cs="Arial" w:ascii="Arial" w:hAnsi="Arial"/>
          <w:sz w:val="20"/>
          <w:szCs w:val="20"/>
          <w:lang w:eastAsia="it-IT"/>
        </w:rPr>
        <w:t xml:space="preserve"> ex art. 65, comma 2, lett. g) del Codice, con le seguenti imprese:</w:t>
      </w:r>
    </w:p>
    <w:p>
      <w:pPr>
        <w:pStyle w:val="Normal"/>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r>
    </w:p>
    <w:tbl>
      <w:tblPr>
        <w:tblStyle w:val="Grigliatabella1"/>
        <w:tblW w:w="1019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58"/>
        <w:gridCol w:w="1469"/>
        <w:gridCol w:w="1192"/>
        <w:gridCol w:w="1599"/>
        <w:gridCol w:w="1562"/>
        <w:gridCol w:w="1480"/>
        <w:gridCol w:w="1534"/>
      </w:tblGrid>
      <w:tr>
        <w:trPr>
          <w:trHeight w:val="1016" w:hRule="atLeast"/>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Ruolo</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Denominazione</w:t>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P.IVA</w:t>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Forma giuridica</w:t>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Sede legale</w:t>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Attività</w:t>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Quota di partecipazione</w:t>
            </w:r>
          </w:p>
        </w:tc>
      </w:tr>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Mandataria</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Mandante</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358"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Mandante</w:t>
            </w:r>
          </w:p>
        </w:tc>
        <w:tc>
          <w:tcPr>
            <w:tcW w:w="146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19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99"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62"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480"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534" w:type="dxa"/>
            <w:tcBorders/>
          </w:tcPr>
          <w:p>
            <w:pPr>
              <w:pStyle w:val="Normal"/>
              <w:widowContro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bl>
    <w:p>
      <w:pPr>
        <w:pStyle w:val="Normal"/>
        <w:suppressAutoHyphens w:val="true"/>
        <w:spacing w:lineRule="auto" w:line="240" w:before="0" w:after="120"/>
        <w:ind w:left="2408" w:right="-1" w:firstLine="424"/>
        <w:rPr>
          <w:rFonts w:ascii="Calibri" w:hAnsi="Calibri" w:eastAsia="Wingdings" w:cs="Calibri"/>
          <w:color w:val="000000"/>
          <w:sz w:val="20"/>
          <w:szCs w:val="20"/>
          <w:lang w:eastAsia="it-IT"/>
        </w:rPr>
      </w:pPr>
      <w:r>
        <w:rPr>
          <w:rFonts w:eastAsia="Wingdings" w:cs="Calibri"/>
          <w:color w:val="000000"/>
          <w:sz w:val="20"/>
          <w:szCs w:val="20"/>
          <w:lang w:eastAsia="it-IT"/>
        </w:rPr>
      </w:r>
    </w:p>
    <w:p>
      <w:pPr>
        <w:pStyle w:val="Normal"/>
        <w:spacing w:lineRule="auto" w:line="360" w:beforeAutospacing="1" w:after="119"/>
        <w:jc w:val="both"/>
        <w:rPr>
          <w:rFonts w:ascii="Arial" w:hAnsi="Arial" w:eastAsia="Times New Roman" w:cs="Arial"/>
          <w:i/>
          <w:i/>
          <w:iCs/>
          <w:sz w:val="20"/>
          <w:szCs w:val="20"/>
          <w:u w:val="single"/>
          <w:lang w:eastAsia="it-IT"/>
        </w:rPr>
      </w:pPr>
      <w:r>
        <w:rPr>
          <w:rFonts w:eastAsia="Times New Roman" w:cs="Arial" w:ascii="Arial" w:hAnsi="Arial"/>
          <w:b/>
          <w:bCs/>
          <w:i/>
          <w:iCs/>
          <w:sz w:val="20"/>
          <w:szCs w:val="20"/>
          <w:u w:val="single"/>
          <w:lang w:eastAsia="it-IT"/>
        </w:rPr>
        <w:t>[Barrare la casella corrispondente]</w:t>
      </w:r>
    </w:p>
    <w:p>
      <w:pPr>
        <w:pStyle w:val="Normal"/>
        <w:spacing w:lineRule="auto" w:line="360" w:beforeAutospacing="1" w:after="68"/>
        <w:jc w:val="both"/>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t xml:space="preserve">□ </w:t>
      </w:r>
      <w:r>
        <w:rPr>
          <w:rFonts w:eastAsia="Times New Roman" w:cs="Arial" w:ascii="Arial" w:hAnsi="Arial"/>
          <w:color w:val="000000"/>
          <w:sz w:val="20"/>
          <w:szCs w:val="20"/>
          <w:lang w:eastAsia="it-IT"/>
        </w:rPr>
        <w:t xml:space="preserve">la rete è dotata di un organo comune con potere di rappresentanza e di soggettività giuridica, ai sensi dell’art. 3, comma 4-quater, del d.l. 10 febbraio 2009, n. 5; </w:t>
      </w:r>
    </w:p>
    <w:p>
      <w:pPr>
        <w:pStyle w:val="Normal"/>
        <w:spacing w:lineRule="auto" w:line="360" w:beforeAutospacing="1" w:after="68"/>
        <w:jc w:val="both"/>
        <w:rPr>
          <w:rFonts w:ascii="Times New Roman" w:hAnsi="Times New Roman" w:eastAsia="Times New Roman" w:cs="Times New Roman"/>
          <w:sz w:val="24"/>
          <w:szCs w:val="24"/>
          <w:lang w:eastAsia="it-IT"/>
        </w:rPr>
      </w:pPr>
      <w:r>
        <w:rPr>
          <w:rFonts w:eastAsia="Times New Roman" w:cs="Times New Roman" w:ascii="Times New Roman" w:hAnsi="Times New Roman"/>
          <w:color w:val="000000"/>
          <w:sz w:val="24"/>
          <w:szCs w:val="24"/>
          <w:lang w:eastAsia="it-IT"/>
        </w:rPr>
        <w:t xml:space="preserve">□ </w:t>
      </w:r>
      <w:r>
        <w:rPr>
          <w:rFonts w:eastAsia="Times New Roman" w:cs="Arial" w:ascii="Arial" w:hAnsi="Arial"/>
          <w:color w:val="000000"/>
          <w:sz w:val="20"/>
          <w:szCs w:val="20"/>
          <w:lang w:eastAsia="it-IT"/>
        </w:rPr>
        <w:t>la rete è dotata di un organo comune con potere di rappresentanza ma è priva di soggettività giuridica ai sensi dell’art. 3, comma 4-</w:t>
      </w:r>
      <w:r>
        <w:rPr>
          <w:rFonts w:eastAsia="Times New Roman" w:cs="Arial" w:ascii="Arial" w:hAnsi="Arial"/>
          <w:i/>
          <w:iCs/>
          <w:color w:val="000000"/>
          <w:sz w:val="20"/>
          <w:szCs w:val="20"/>
          <w:lang w:eastAsia="it-IT"/>
        </w:rPr>
        <w:t>quater</w:t>
      </w:r>
      <w:r>
        <w:rPr>
          <w:rFonts w:eastAsia="Times New Roman" w:cs="Arial" w:ascii="Arial" w:hAnsi="Arial"/>
          <w:color w:val="000000"/>
          <w:sz w:val="20"/>
          <w:szCs w:val="20"/>
          <w:lang w:eastAsia="it-IT"/>
        </w:rPr>
        <w:t xml:space="preserve">, del d.l. 10 febbraio 2009, n. 5; </w:t>
      </w:r>
    </w:p>
    <w:p>
      <w:pPr>
        <w:pStyle w:val="Normal"/>
        <w:spacing w:lineRule="auto" w:line="360" w:beforeAutospacing="1" w:after="68"/>
        <w:jc w:val="both"/>
        <w:rPr>
          <w:rFonts w:ascii="Times New Roman" w:hAnsi="Times New Roman" w:eastAsia="Times New Roman" w:cs="Times New Roman"/>
          <w:sz w:val="24"/>
          <w:szCs w:val="24"/>
          <w:lang w:eastAsia="it-IT"/>
        </w:rPr>
      </w:pPr>
      <w:r>
        <w:rPr>
          <w:rFonts w:eastAsia="Times New Roman" w:cs="Times New Roman" w:ascii="Times New Roman" w:hAnsi="Times New Roman"/>
          <w:color w:val="000000"/>
          <w:sz w:val="24"/>
          <w:szCs w:val="24"/>
          <w:lang w:eastAsia="it-IT"/>
        </w:rPr>
        <w:t xml:space="preserve">□ </w:t>
      </w:r>
      <w:r>
        <w:rPr>
          <w:rFonts w:eastAsia="Times New Roman" w:cs="Arial" w:ascii="Arial" w:hAnsi="Arial"/>
          <w:color w:val="000000"/>
          <w:sz w:val="20"/>
          <w:szCs w:val="20"/>
          <w:lang w:eastAsia="it-IT"/>
        </w:rPr>
        <w:t>la rete è dotata di un organo comune privo del potere di rappresentanza;</w:t>
      </w:r>
    </w:p>
    <w:p>
      <w:pPr>
        <w:pStyle w:val="Normal"/>
        <w:spacing w:lineRule="auto" w:line="360" w:beforeAutospacing="1" w:after="68"/>
        <w:jc w:val="both"/>
        <w:rPr>
          <w:rFonts w:ascii="Times New Roman" w:hAnsi="Times New Roman" w:eastAsia="Times New Roman" w:cs="Times New Roman"/>
          <w:sz w:val="24"/>
          <w:szCs w:val="24"/>
          <w:lang w:eastAsia="it-IT"/>
        </w:rPr>
      </w:pPr>
      <w:r>
        <w:rPr>
          <w:rFonts w:eastAsia="Times New Roman" w:cs="Times New Roman" w:ascii="Times New Roman" w:hAnsi="Times New Roman"/>
          <w:color w:val="000000"/>
          <w:sz w:val="24"/>
          <w:szCs w:val="24"/>
          <w:lang w:eastAsia="it-IT"/>
        </w:rPr>
        <w:t xml:space="preserve">□ </w:t>
      </w:r>
      <w:r>
        <w:rPr>
          <w:rFonts w:eastAsia="Times New Roman" w:cs="Arial" w:ascii="Arial" w:hAnsi="Arial"/>
          <w:color w:val="000000"/>
          <w:sz w:val="20"/>
          <w:szCs w:val="20"/>
          <w:lang w:eastAsia="it-IT"/>
        </w:rPr>
        <w:t>la rete è sprovvista di organo comune;</w:t>
      </w:r>
    </w:p>
    <w:p>
      <w:pPr>
        <w:pStyle w:val="Normal"/>
        <w:spacing w:lineRule="auto" w:line="360" w:beforeAutospacing="1" w:after="68"/>
        <w:jc w:val="both"/>
        <w:rPr>
          <w:rFonts w:ascii="Times New Roman" w:hAnsi="Times New Roman" w:eastAsia="Times New Roman" w:cs="Times New Roman"/>
          <w:sz w:val="24"/>
          <w:szCs w:val="24"/>
          <w:lang w:eastAsia="it-IT"/>
        </w:rPr>
      </w:pPr>
      <w:r>
        <w:rPr>
          <w:rFonts w:eastAsia="Times New Roman" w:cs="Times New Roman" w:ascii="Times New Roman" w:hAnsi="Times New Roman"/>
          <w:color w:val="000000"/>
          <w:sz w:val="24"/>
          <w:szCs w:val="24"/>
          <w:lang w:eastAsia="it-IT"/>
        </w:rPr>
        <w:t xml:space="preserve">□ </w:t>
      </w:r>
      <w:r>
        <w:rPr>
          <w:rFonts w:eastAsia="Times New Roman" w:cs="Arial" w:ascii="Arial" w:hAnsi="Arial"/>
          <w:color w:val="000000"/>
          <w:sz w:val="20"/>
          <w:szCs w:val="20"/>
          <w:lang w:eastAsia="it-IT"/>
        </w:rPr>
        <w:t>l’organo comune è privo dei requisiti di qualificazione richiesti per assumere la veste di mandataria</w:t>
      </w:r>
    </w:p>
    <w:p>
      <w:pPr>
        <w:pStyle w:val="Normal"/>
        <w:spacing w:lineRule="auto" w:line="360" w:beforeAutospacing="1" w:after="68"/>
        <w:jc w:val="both"/>
        <w:rPr>
          <w:rFonts w:ascii="Arial" w:hAnsi="Arial" w:eastAsia="Times New Roman" w:cs="Arial"/>
          <w:color w:val="000000"/>
          <w:sz w:val="20"/>
          <w:szCs w:val="20"/>
          <w:lang w:eastAsia="it-IT"/>
        </w:rPr>
      </w:pPr>
      <w:r>
        <w:rPr>
          <w:rFonts w:eastAsia="Times New Roman" w:cs="Times New Roman" w:ascii="Times New Roman" w:hAnsi="Times New Roman"/>
          <w:color w:val="000000"/>
          <w:sz w:val="24"/>
          <w:szCs w:val="24"/>
          <w:lang w:eastAsia="it-IT"/>
        </w:rPr>
        <w:t>□</w:t>
      </w:r>
      <w:r>
        <w:rPr>
          <w:rFonts w:eastAsia="Times New Roman" w:cs="Arial" w:ascii="Arial" w:hAnsi="Arial"/>
          <w:color w:val="000000"/>
          <w:sz w:val="20"/>
          <w:szCs w:val="20"/>
          <w:lang w:eastAsia="it-IT"/>
        </w:rPr>
        <w:t xml:space="preserve"> </w:t>
      </w:r>
      <w:r>
        <w:rPr>
          <w:rFonts w:eastAsia="Times New Roman" w:cs="Arial" w:ascii="Arial" w:hAnsi="Arial"/>
          <w:color w:val="000000"/>
          <w:sz w:val="20"/>
          <w:szCs w:val="20"/>
          <w:lang w:eastAsia="it-IT"/>
        </w:rPr>
        <w:t>altro (specificare): ____________________________________________________</w:t>
      </w:r>
    </w:p>
    <w:p>
      <w:pPr>
        <w:pStyle w:val="Normal"/>
        <w:numPr>
          <w:ilvl w:val="0"/>
          <w:numId w:val="1"/>
        </w:numPr>
        <w:suppressAutoHyphens w:val="true"/>
        <w:spacing w:lineRule="auto" w:line="240" w:before="0" w:after="120"/>
        <w:ind w:left="284" w:hanging="284"/>
        <w:rPr>
          <w:rFonts w:ascii="Calibri" w:hAnsi="Calibri" w:eastAsia="Calibri" w:cs="Calibri"/>
          <w:color w:val="000000"/>
          <w:sz w:val="24"/>
          <w:szCs w:val="24"/>
          <w:lang w:eastAsia="it-IT"/>
        </w:rPr>
      </w:pPr>
      <w:r>
        <w:rPr>
          <w:rFonts w:eastAsia="Calibri" w:cs="Calibri"/>
          <w:color w:val="000000"/>
          <w:sz w:val="24"/>
          <w:szCs w:val="24"/>
          <w:lang w:eastAsia="it-IT"/>
        </w:rPr>
        <w:t>GEIE (D. Lgs. 36/2023 (Codice) art. 65 – comma 2 - lett. h);</w:t>
      </w:r>
    </w:p>
    <w:p>
      <w:pPr>
        <w:pStyle w:val="Normal"/>
        <w:suppressAutoHyphens w:val="true"/>
        <w:spacing w:lineRule="auto" w:line="240" w:before="0" w:after="0"/>
        <w:ind w:right="-1" w:hanging="0"/>
        <w:rPr>
          <w:rFonts w:ascii="Calibri" w:hAnsi="Calibri" w:eastAsia="Calibri" w:cs="Calibri"/>
          <w:color w:val="000000"/>
          <w:sz w:val="24"/>
          <w:szCs w:val="24"/>
          <w:lang w:val="en-US" w:eastAsia="it-IT"/>
        </w:rPr>
      </w:pPr>
      <w:r>
        <w:rPr>
          <w:rFonts w:eastAsia="Calibri" w:cs="Calibri"/>
          <w:color w:val="000000"/>
          <w:sz w:val="24"/>
          <w:szCs w:val="24"/>
          <w:lang w:val="en-US" w:eastAsia="it-IT"/>
        </w:rPr>
      </w:r>
    </w:p>
    <w:p>
      <w:pPr>
        <w:pStyle w:val="Normal"/>
        <w:suppressAutoHyphens w:val="true"/>
        <w:spacing w:before="0" w:after="0"/>
        <w:ind w:right="-1" w:hanging="0"/>
        <w:jc w:val="both"/>
        <w:rPr>
          <w:rFonts w:ascii="Calibri" w:hAnsi="Calibri" w:eastAsia="Calibri" w:cs="Calibri"/>
          <w:sz w:val="24"/>
          <w:szCs w:val="24"/>
          <w:lang w:eastAsia="it-IT"/>
        </w:rPr>
      </w:pPr>
      <w:r>
        <w:rPr>
          <w:rFonts w:eastAsia="Calibri" w:cs="Calibri"/>
          <w:sz w:val="24"/>
          <w:szCs w:val="24"/>
          <w:lang w:eastAsia="it-IT"/>
        </w:rPr>
        <w:t>per il/i seguente/i LOTTO/i:</w:t>
      </w:r>
    </w:p>
    <w:p>
      <w:pPr>
        <w:pStyle w:val="Normal"/>
        <w:suppressAutoHyphens w:val="true"/>
        <w:spacing w:before="0" w:after="0"/>
        <w:ind w:right="-1" w:hanging="0"/>
        <w:jc w:val="both"/>
        <w:rPr>
          <w:rFonts w:ascii="Calibri" w:hAnsi="Calibri" w:eastAsia="Calibri" w:cs="Calibri"/>
          <w:sz w:val="24"/>
          <w:szCs w:val="24"/>
          <w:lang w:eastAsia="it-IT"/>
        </w:rPr>
      </w:pPr>
      <w:r>
        <w:rPr>
          <w:rFonts w:eastAsia="Calibri" w:cs="Calibri"/>
          <w:sz w:val="24"/>
          <w:szCs w:val="24"/>
          <w:lang w:eastAsia="it-IT"/>
        </w:rPr>
        <w:t>_________________________________</w:t>
      </w:r>
    </w:p>
    <w:p>
      <w:pPr>
        <w:pStyle w:val="Normal"/>
        <w:suppressAutoHyphens w:val="true"/>
        <w:spacing w:before="0" w:after="0"/>
        <w:ind w:right="-1" w:hanging="0"/>
        <w:jc w:val="both"/>
        <w:rPr>
          <w:rFonts w:ascii="Calibri" w:hAnsi="Calibri" w:eastAsia="Calibri" w:cs="Calibri"/>
          <w:sz w:val="24"/>
          <w:szCs w:val="24"/>
          <w:lang w:eastAsia="it-IT"/>
        </w:rPr>
      </w:pPr>
      <w:r>
        <w:rPr>
          <w:rFonts w:eastAsia="Calibri" w:cs="Calibri"/>
          <w:sz w:val="24"/>
          <w:szCs w:val="24"/>
          <w:lang w:eastAsia="it-IT"/>
        </w:rPr>
      </w:r>
    </w:p>
    <w:p>
      <w:pPr>
        <w:pStyle w:val="Normal"/>
        <w:suppressAutoHyphens w:val="true"/>
        <w:spacing w:lineRule="auto" w:line="240" w:before="0" w:after="0"/>
        <w:ind w:right="-1" w:hanging="0"/>
        <w:jc w:val="center"/>
        <w:rPr>
          <w:rFonts w:ascii="Calibri" w:hAnsi="Calibri" w:eastAsia="Calibri" w:cs="Calibri"/>
          <w:b/>
          <w:b/>
          <w:caps/>
          <w:sz w:val="24"/>
          <w:szCs w:val="24"/>
          <w:lang w:eastAsia="it-IT"/>
        </w:rPr>
      </w:pPr>
      <w:r>
        <w:rPr>
          <w:rFonts w:eastAsia="Calibri" w:cs="Calibri"/>
          <w:b/>
          <w:caps/>
          <w:sz w:val="24"/>
          <w:szCs w:val="24"/>
          <w:lang w:eastAsia="it-IT"/>
        </w:rPr>
        <w:t xml:space="preserve">DICHIARA </w:t>
      </w:r>
    </w:p>
    <w:p>
      <w:pPr>
        <w:pStyle w:val="Normal"/>
        <w:suppressAutoHyphens w:val="true"/>
        <w:spacing w:lineRule="auto" w:line="240" w:before="0" w:after="0"/>
        <w:ind w:right="-1" w:hanging="0"/>
        <w:jc w:val="center"/>
        <w:rPr>
          <w:rFonts w:ascii="Calibri" w:hAnsi="Calibri" w:eastAsia="Calibri" w:cs="Calibri"/>
          <w:b/>
          <w:b/>
          <w:caps/>
          <w:sz w:val="24"/>
          <w:szCs w:val="24"/>
          <w:lang w:eastAsia="it-IT"/>
        </w:rPr>
      </w:pPr>
      <w:r>
        <w:rPr>
          <w:rFonts w:eastAsia="Calibri" w:cs="Calibri"/>
          <w:b/>
          <w:caps/>
          <w:sz w:val="24"/>
          <w:szCs w:val="24"/>
          <w:lang w:eastAsia="it-IT"/>
        </w:rPr>
      </w:r>
    </w:p>
    <w:p>
      <w:pPr>
        <w:pStyle w:val="Normal"/>
        <w:suppressAutoHyphens w:val="true"/>
        <w:spacing w:lineRule="auto" w:line="360" w:before="0" w:after="0"/>
        <w:ind w:right="-1" w:hanging="0"/>
        <w:jc w:val="both"/>
        <w:rPr>
          <w:rFonts w:ascii="Arial" w:hAnsi="Arial" w:eastAsia="Calibri" w:cs="Arial"/>
          <w:sz w:val="20"/>
          <w:szCs w:val="20"/>
          <w:lang w:eastAsia="it-IT"/>
        </w:rPr>
      </w:pPr>
      <w:r>
        <w:rPr>
          <w:rFonts w:eastAsia="Calibri" w:cs="Arial" w:ascii="Arial" w:hAnsi="Arial"/>
          <w:sz w:val="20"/>
          <w:szCs w:val="20"/>
          <w:lang w:eastAsia="it-IT"/>
        </w:rPr>
        <w:t>ai sensi e per gli effetti dell’art. 76 D.P.R.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ai fini della partecipazione alla presente gara.</w:t>
      </w:r>
    </w:p>
    <w:p>
      <w:pPr>
        <w:pStyle w:val="Normal"/>
        <w:numPr>
          <w:ilvl w:val="0"/>
          <w:numId w:val="3"/>
        </w:numPr>
        <w:suppressAutoHyphens w:val="true"/>
        <w:spacing w:lineRule="auto" w:line="240" w:beforeAutospacing="1" w:afterAutospacing="1"/>
        <w:ind w:left="357" w:hanging="357"/>
        <w:jc w:val="both"/>
        <w:rPr>
          <w:rFonts w:ascii="Arial" w:hAnsi="Arial" w:eastAsia="Times New Roman" w:cs="Arial"/>
          <w:sz w:val="20"/>
          <w:szCs w:val="20"/>
          <w:lang w:eastAsia="it-IT"/>
        </w:rPr>
      </w:pPr>
      <w:r>
        <w:rPr>
          <w:rFonts w:eastAsia="Times New Roman" w:cs="Arial" w:ascii="Arial" w:hAnsi="Arial"/>
          <w:sz w:val="20"/>
          <w:szCs w:val="20"/>
          <w:lang w:eastAsia="it-IT"/>
        </w:rPr>
        <w:t>Che i dati identificativi dei soggetti di cui all’art. 94, comma 3 del Codice sono i seguenti, incluso l’amministratore di fatto, ove presente:</w:t>
      </w:r>
    </w:p>
    <w:tbl>
      <w:tblPr>
        <w:tblStyle w:val="Grigliatabella1"/>
        <w:tblW w:w="8647" w:type="dxa"/>
        <w:jc w:val="left"/>
        <w:tblInd w:w="704" w:type="dxa"/>
        <w:tblLayout w:type="fixed"/>
        <w:tblCellMar>
          <w:top w:w="0" w:type="dxa"/>
          <w:left w:w="108" w:type="dxa"/>
          <w:bottom w:w="0" w:type="dxa"/>
          <w:right w:w="108" w:type="dxa"/>
        </w:tblCellMar>
        <w:tblLook w:firstRow="1" w:noVBand="1" w:lastRow="0" w:firstColumn="1" w:lastColumn="0" w:noHBand="0" w:val="04a0"/>
      </w:tblPr>
      <w:tblGrid>
        <w:gridCol w:w="1700"/>
        <w:gridCol w:w="1700"/>
        <w:gridCol w:w="1278"/>
        <w:gridCol w:w="1841"/>
        <w:gridCol w:w="2128"/>
      </w:tblGrid>
      <w:tr>
        <w:trPr/>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Nome e cognome</w:t>
            </w:r>
          </w:p>
        </w:tc>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Data e luogo di nascita</w:t>
            </w:r>
          </w:p>
        </w:tc>
        <w:tc>
          <w:tcPr>
            <w:tcW w:w="127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Codice fiscale</w:t>
            </w:r>
          </w:p>
        </w:tc>
        <w:tc>
          <w:tcPr>
            <w:tcW w:w="1841"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Comune di residenza</w:t>
            </w:r>
          </w:p>
        </w:tc>
        <w:tc>
          <w:tcPr>
            <w:tcW w:w="212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0"/>
                <w:szCs w:val="20"/>
                <w:lang w:val="it-IT" w:eastAsia="it-IT" w:bidi="ar-SA"/>
              </w:rPr>
              <w:t>Carica Ruolo</w:t>
            </w:r>
          </w:p>
        </w:tc>
      </w:tr>
      <w:tr>
        <w:trPr/>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27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841"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12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27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841"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12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27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841"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12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27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841"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12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r>
        <w:trPr/>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700"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27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1841"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c>
          <w:tcPr>
            <w:tcW w:w="2128" w:type="dxa"/>
            <w:tcBorders/>
          </w:tcPr>
          <w:p>
            <w:pPr>
              <w:pStyle w:val="Normal"/>
              <w:widowControl/>
              <w:suppressAutoHyphens w:val="true"/>
              <w:spacing w:lineRule="auto" w:line="360" w:beforeAutospacing="1" w:after="0"/>
              <w:jc w:val="both"/>
              <w:rPr>
                <w:rFonts w:ascii="Arial" w:hAnsi="Arial" w:eastAsia="Times New Roman" w:cs="Arial"/>
                <w:sz w:val="20"/>
                <w:szCs w:val="20"/>
                <w:lang w:eastAsia="it-IT"/>
              </w:rPr>
            </w:pPr>
            <w:r>
              <w:rPr>
                <w:rFonts w:eastAsia="Times New Roman" w:cs="Arial" w:ascii="Arial" w:hAnsi="Arial"/>
                <w:kern w:val="0"/>
                <w:sz w:val="22"/>
                <w:szCs w:val="22"/>
                <w:lang w:val="it-IT" w:eastAsia="en-US" w:bidi="ar-SA"/>
              </w:rPr>
            </w:r>
          </w:p>
        </w:tc>
      </w:tr>
    </w:tbl>
    <w:p>
      <w:pPr>
        <w:pStyle w:val="Normal"/>
        <w:spacing w:before="0" w:after="0"/>
        <w:ind w:left="708" w:hanging="0"/>
        <w:jc w:val="both"/>
        <w:rPr>
          <w:rFonts w:ascii="Arial" w:hAnsi="Arial" w:eastAsia="Times New Roman" w:cs="Arial"/>
          <w:i/>
          <w:i/>
          <w:iCs/>
          <w:sz w:val="20"/>
          <w:szCs w:val="20"/>
          <w:u w:val="single"/>
          <w:lang w:eastAsia="it-IT"/>
        </w:rPr>
      </w:pPr>
      <w:r>
        <w:rPr>
          <w:rFonts w:eastAsia="Times New Roman" w:cs="Arial" w:ascii="Arial" w:hAnsi="Arial"/>
          <w:i/>
          <w:iCs/>
          <w:sz w:val="20"/>
          <w:szCs w:val="20"/>
          <w:u w:val="single"/>
          <w:lang w:eastAsia="it-IT"/>
        </w:rPr>
        <w:t xml:space="preserve">Si tenga conto di quanto precisato rispetto alle cariche rilevanti con il Comunicato ANAC dell'8.11.2017 </w:t>
      </w:r>
      <w:hyperlink r:id="rId3">
        <w:r>
          <w:rPr>
            <w:rFonts w:eastAsia="Times New Roman" w:cs="Arial" w:ascii="Arial" w:hAnsi="Arial"/>
            <w:i/>
            <w:iCs/>
            <w:color w:val="0563C1"/>
            <w:sz w:val="20"/>
            <w:szCs w:val="20"/>
            <w:u w:val="single"/>
            <w:lang w:eastAsia="it-IT"/>
          </w:rPr>
          <w:t>https://www.anticorruzione.it/portal/public/classic/AttivitaAutorita/AttiDellAutorita/_Atto?ca=6992</w:t>
        </w:r>
      </w:hyperlink>
      <w:r>
        <w:rPr>
          <w:rFonts w:eastAsia="Times New Roman" w:cs="Arial" w:ascii="Arial" w:hAnsi="Arial"/>
          <w:i/>
          <w:iCs/>
          <w:sz w:val="20"/>
          <w:szCs w:val="20"/>
          <w:u w:val="single"/>
          <w:lang w:eastAsia="it-IT"/>
        </w:rPr>
        <w:t xml:space="preserve">). </w:t>
      </w:r>
    </w:p>
    <w:p>
      <w:pPr>
        <w:pStyle w:val="Normal"/>
        <w:spacing w:before="0" w:after="0"/>
        <w:ind w:firstLine="708"/>
        <w:jc w:val="both"/>
        <w:rPr>
          <w:rFonts w:ascii="Arial" w:hAnsi="Arial" w:eastAsia="Times New Roman" w:cs="Arial"/>
          <w:i/>
          <w:i/>
          <w:iCs/>
          <w:sz w:val="20"/>
          <w:szCs w:val="20"/>
          <w:u w:val="single"/>
          <w:lang w:eastAsia="it-IT"/>
        </w:rPr>
      </w:pPr>
      <w:r>
        <w:rPr>
          <w:rFonts w:eastAsia="Times New Roman" w:cs="Arial" w:ascii="Arial" w:hAnsi="Arial"/>
          <w:i/>
          <w:iCs/>
          <w:sz w:val="20"/>
          <w:szCs w:val="20"/>
          <w:u w:val="single"/>
          <w:lang w:eastAsia="it-IT"/>
        </w:rPr>
        <w:t xml:space="preserve">Si indichino in questo contesto i soggetti di cui all’art. 94 comma 3 in ragione di operazioni societarie. </w:t>
      </w:r>
    </w:p>
    <w:p>
      <w:pPr>
        <w:pStyle w:val="Normal"/>
        <w:spacing w:before="0" w:after="0"/>
        <w:ind w:firstLine="708"/>
        <w:jc w:val="both"/>
        <w:rPr>
          <w:rFonts w:ascii="Arial" w:hAnsi="Arial" w:eastAsia="Times New Roman" w:cs="Arial"/>
          <w:i/>
          <w:i/>
          <w:iCs/>
          <w:sz w:val="18"/>
          <w:szCs w:val="18"/>
          <w:u w:val="single"/>
          <w:lang w:eastAsia="it-IT"/>
        </w:rPr>
      </w:pPr>
      <w:r>
        <w:rPr>
          <w:rFonts w:eastAsia="Times New Roman" w:cs="Arial" w:ascii="Arial" w:hAnsi="Arial"/>
          <w:i/>
          <w:iCs/>
          <w:sz w:val="18"/>
          <w:szCs w:val="18"/>
          <w:u w:val="single"/>
          <w:lang w:eastAsia="it-IT"/>
        </w:rPr>
      </w:r>
    </w:p>
    <w:p>
      <w:pPr>
        <w:pStyle w:val="Normal"/>
        <w:spacing w:before="0" w:after="0"/>
        <w:ind w:firstLine="708"/>
        <w:jc w:val="both"/>
        <w:rPr>
          <w:rFonts w:ascii="Arial" w:hAnsi="Arial" w:eastAsia="Times New Roman" w:cs="Arial"/>
          <w:sz w:val="18"/>
          <w:szCs w:val="18"/>
          <w:lang w:eastAsia="it-IT"/>
        </w:rPr>
      </w:pPr>
      <w:r>
        <w:rPr>
          <w:rFonts w:eastAsia="Times New Roman" w:cs="Arial" w:ascii="Arial" w:hAnsi="Arial"/>
          <w:sz w:val="18"/>
          <w:szCs w:val="18"/>
          <w:lang w:eastAsia="it-IT"/>
        </w:rPr>
        <w:t>In alternativa:</w:t>
      </w:r>
    </w:p>
    <w:p>
      <w:pPr>
        <w:pStyle w:val="Normal"/>
        <w:spacing w:lineRule="auto" w:line="360" w:before="0" w:after="0"/>
        <w:ind w:firstLine="708"/>
        <w:jc w:val="both"/>
        <w:rPr>
          <w:rFonts w:ascii="Arial" w:hAnsi="Arial" w:eastAsia="Times New Roman" w:cs="Arial"/>
          <w:sz w:val="18"/>
          <w:szCs w:val="18"/>
          <w:lang w:eastAsia="it-IT"/>
        </w:rPr>
      </w:pPr>
      <w:r>
        <w:rPr>
          <w:rFonts w:eastAsia="Times New Roman" w:cs="Arial" w:ascii="Arial" w:hAnsi="Arial"/>
          <w:sz w:val="18"/>
          <w:szCs w:val="18"/>
          <w:lang w:eastAsia="it-IT"/>
        </w:rPr>
      </w:r>
    </w:p>
    <w:p>
      <w:pPr>
        <w:pStyle w:val="ListParagraph"/>
        <w:numPr>
          <w:ilvl w:val="0"/>
          <w:numId w:val="5"/>
        </w:numPr>
        <w:spacing w:lineRule="auto" w:line="360" w:before="0" w:after="0"/>
        <w:contextualSpacing/>
        <w:jc w:val="both"/>
        <w:rPr>
          <w:rFonts w:ascii="Arial" w:hAnsi="Arial" w:eastAsia="Times New Roman" w:cs="Arial"/>
          <w:sz w:val="20"/>
          <w:szCs w:val="20"/>
          <w:lang w:eastAsia="it-IT"/>
        </w:rPr>
      </w:pPr>
      <w:r>
        <w:rPr>
          <w:rFonts w:eastAsia="Times New Roman" w:cs="Arial" w:ascii="Arial" w:hAnsi="Arial"/>
          <w:sz w:val="20"/>
          <w:szCs w:val="20"/>
          <w:lang w:eastAsia="it-IT"/>
        </w:rPr>
        <w:t>indicare la banca dati ufficiale o il pubblico registro da cui i medesimi possono essere ricavati in modo aggiornato alla data di presentazione dell’offerta</w:t>
      </w:r>
    </w:p>
    <w:p>
      <w:pPr>
        <w:pStyle w:val="Normal"/>
        <w:spacing w:lineRule="auto" w:line="360" w:before="0" w:after="0"/>
        <w:ind w:left="708" w:hanging="0"/>
        <w:jc w:val="both"/>
        <w:rPr>
          <w:rFonts w:ascii="Arial" w:hAnsi="Arial" w:eastAsia="Times New Roman" w:cs="Arial"/>
          <w:sz w:val="20"/>
          <w:szCs w:val="20"/>
          <w:lang w:eastAsia="it-IT"/>
        </w:rPr>
      </w:pPr>
      <w:r>
        <w:rPr>
          <w:rFonts w:eastAsia="Times New Roman" w:cs="Arial" w:ascii="Arial" w:hAnsi="Arial"/>
          <w:sz w:val="20"/>
          <w:szCs w:val="20"/>
          <w:lang w:eastAsia="it-IT"/>
        </w:rPr>
        <w:t>________________________________________________________________________________</w:t>
      </w:r>
    </w:p>
    <w:p>
      <w:pPr>
        <w:pStyle w:val="Normal"/>
        <w:spacing w:before="0" w:after="0"/>
        <w:ind w:firstLine="708"/>
        <w:jc w:val="both"/>
        <w:rPr>
          <w:rFonts w:ascii="Arial" w:hAnsi="Arial" w:eastAsia="Times New Roman" w:cs="Arial"/>
          <w:sz w:val="18"/>
          <w:szCs w:val="18"/>
          <w:lang w:eastAsia="it-IT"/>
        </w:rPr>
      </w:pPr>
      <w:r>
        <w:rPr>
          <w:rFonts w:eastAsia="Times New Roman" w:cs="Arial" w:ascii="Arial" w:hAnsi="Arial"/>
          <w:sz w:val="18"/>
          <w:szCs w:val="18"/>
          <w:lang w:eastAsia="it-IT"/>
        </w:rPr>
      </w:r>
    </w:p>
    <w:p>
      <w:pPr>
        <w:pStyle w:val="Normal"/>
        <w:numPr>
          <w:ilvl w:val="0"/>
          <w:numId w:val="3"/>
        </w:numPr>
        <w:suppressAutoHyphens w:val="true"/>
        <w:spacing w:lineRule="auto" w:line="360" w:beforeAutospacing="1" w:after="119"/>
        <w:contextualSpacing/>
        <w:jc w:val="both"/>
        <w:rPr>
          <w:rFonts w:ascii="Arial" w:hAnsi="Arial" w:eastAsia="Times New Roman" w:cs="Arial"/>
          <w:sz w:val="20"/>
          <w:szCs w:val="20"/>
          <w:lang w:eastAsia="it-IT"/>
        </w:rPr>
      </w:pPr>
      <w:r>
        <w:rPr>
          <w:rFonts w:eastAsia="Times New Roman" w:cs="Arial" w:ascii="Arial" w:hAnsi="Arial"/>
          <w:i/>
          <w:iCs/>
          <w:lang w:eastAsia="it-IT"/>
        </w:rPr>
        <w:t>(</w:t>
      </w:r>
      <w:r>
        <w:rPr>
          <w:rFonts w:eastAsia="Times New Roman" w:cs="Arial" w:ascii="Arial" w:hAnsi="Arial"/>
          <w:i/>
          <w:iCs/>
          <w:sz w:val="20"/>
          <w:szCs w:val="20"/>
          <w:lang w:eastAsia="it-IT"/>
        </w:rPr>
        <w:t xml:space="preserve">eventuale) </w:t>
      </w:r>
      <w:r>
        <w:rPr>
          <w:rFonts w:eastAsia="Times New Roman" w:cs="Arial" w:ascii="Arial" w:hAnsi="Arial"/>
          <w:sz w:val="20"/>
          <w:szCs w:val="20"/>
          <w:lang w:eastAsia="it-IT"/>
        </w:rPr>
        <w:t>che i soggetti cessati dalla carica societaria nell’anno antecedente la data di pubblicazione del bando di gara (In caso di cessione/affitto d’azienda o di ramo d’azienda, incorporazione o fusione societaria intervenuta nell’anno antecedente la data di pubblicazione del bando di gara indicare anche i soggetti, che hanno operato presso la impresa cedente/locatrice, incorporata o le società fusesi nell’anno antecedente la pubblicazione del bando e ai cessati dalle relative cariche nel medesimo periodo) sono i seguenti:</w:t>
      </w:r>
    </w:p>
    <w:tbl>
      <w:tblPr>
        <w:tblStyle w:val="Grigliatabella1"/>
        <w:tblW w:w="8647" w:type="dxa"/>
        <w:jc w:val="left"/>
        <w:tblInd w:w="704" w:type="dxa"/>
        <w:tblLayout w:type="fixed"/>
        <w:tblCellMar>
          <w:top w:w="0" w:type="dxa"/>
          <w:left w:w="108" w:type="dxa"/>
          <w:bottom w:w="0" w:type="dxa"/>
          <w:right w:w="108" w:type="dxa"/>
        </w:tblCellMar>
        <w:tblLook w:firstRow="1" w:noVBand="1" w:lastRow="0" w:firstColumn="1" w:lastColumn="0" w:noHBand="0" w:val="04a0"/>
      </w:tblPr>
      <w:tblGrid>
        <w:gridCol w:w="1700"/>
        <w:gridCol w:w="1700"/>
        <w:gridCol w:w="1278"/>
        <w:gridCol w:w="1841"/>
        <w:gridCol w:w="2128"/>
      </w:tblGrid>
      <w:tr>
        <w:trPr/>
        <w:tc>
          <w:tcPr>
            <w:tcW w:w="1700"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it-IT" w:bidi="ar-SA"/>
              </w:rPr>
              <w:t>Nome e cognome</w:t>
            </w:r>
          </w:p>
        </w:tc>
        <w:tc>
          <w:tcPr>
            <w:tcW w:w="1700"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it-IT" w:bidi="ar-SA"/>
              </w:rPr>
              <w:t>Data e luogo di nascita</w:t>
            </w:r>
          </w:p>
        </w:tc>
        <w:tc>
          <w:tcPr>
            <w:tcW w:w="1278"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it-IT" w:bidi="ar-SA"/>
              </w:rPr>
              <w:t>Codice fiscale</w:t>
            </w:r>
          </w:p>
        </w:tc>
        <w:tc>
          <w:tcPr>
            <w:tcW w:w="1841"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it-IT" w:bidi="ar-SA"/>
              </w:rPr>
              <w:t>Comune di residenza</w:t>
            </w:r>
          </w:p>
        </w:tc>
        <w:tc>
          <w:tcPr>
            <w:tcW w:w="2128"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it-IT" w:bidi="ar-SA"/>
              </w:rPr>
              <w:t>Carica Ruolo</w:t>
            </w:r>
          </w:p>
        </w:tc>
      </w:tr>
      <w:tr>
        <w:trPr/>
        <w:tc>
          <w:tcPr>
            <w:tcW w:w="1700"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en-US" w:bidi="ar-SA"/>
              </w:rPr>
            </w:r>
          </w:p>
        </w:tc>
        <w:tc>
          <w:tcPr>
            <w:tcW w:w="1700"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en-US" w:bidi="ar-SA"/>
              </w:rPr>
            </w:r>
          </w:p>
        </w:tc>
        <w:tc>
          <w:tcPr>
            <w:tcW w:w="1278"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en-US" w:bidi="ar-SA"/>
              </w:rPr>
            </w:r>
          </w:p>
        </w:tc>
        <w:tc>
          <w:tcPr>
            <w:tcW w:w="1841"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en-US" w:bidi="ar-SA"/>
              </w:rPr>
            </w:r>
          </w:p>
        </w:tc>
        <w:tc>
          <w:tcPr>
            <w:tcW w:w="2128" w:type="dxa"/>
            <w:tcBorders/>
          </w:tcPr>
          <w:p>
            <w:pPr>
              <w:pStyle w:val="Normal"/>
              <w:widowControl/>
              <w:suppressAutoHyphens w:val="true"/>
              <w:spacing w:lineRule="auto" w:line="360" w:beforeAutospacing="1" w:after="0"/>
              <w:jc w:val="both"/>
              <w:rPr>
                <w:rFonts w:ascii="Arial" w:hAnsi="Arial" w:eastAsia="Times New Roman" w:cs="Arial"/>
                <w:lang w:eastAsia="it-IT"/>
              </w:rPr>
            </w:pPr>
            <w:r>
              <w:rPr>
                <w:rFonts w:eastAsia="Times New Roman" w:cs="Arial" w:ascii="Arial" w:hAnsi="Arial"/>
                <w:kern w:val="0"/>
                <w:sz w:val="22"/>
                <w:szCs w:val="22"/>
                <w:lang w:val="it-IT" w:eastAsia="en-US" w:bidi="ar-SA"/>
              </w:rPr>
            </w:r>
          </w:p>
        </w:tc>
      </w:tr>
    </w:tbl>
    <w:p>
      <w:pPr>
        <w:pStyle w:val="Normal"/>
        <w:spacing w:lineRule="auto" w:line="360" w:beforeAutospacing="1" w:after="119"/>
        <w:ind w:firstLine="708"/>
        <w:jc w:val="both"/>
        <w:rPr>
          <w:rFonts w:ascii="Arial" w:hAnsi="Arial" w:eastAsia="Times New Roman" w:cs="Arial"/>
          <w:sz w:val="20"/>
          <w:szCs w:val="20"/>
          <w:lang w:eastAsia="it-IT"/>
        </w:rPr>
      </w:pPr>
      <w:r>
        <w:rPr>
          <w:rFonts w:eastAsia="Times New Roman" w:cs="Arial" w:ascii="Arial" w:hAnsi="Arial"/>
          <w:i/>
          <w:iCs/>
          <w:sz w:val="20"/>
          <w:szCs w:val="20"/>
          <w:lang w:eastAsia="it-IT"/>
        </w:rPr>
        <w:t>ovvero, in alternativa</w:t>
      </w:r>
    </w:p>
    <w:p>
      <w:pPr>
        <w:pStyle w:val="Normal"/>
        <w:numPr>
          <w:ilvl w:val="0"/>
          <w:numId w:val="2"/>
        </w:numPr>
        <w:suppressAutoHyphens w:val="true"/>
        <w:spacing w:lineRule="auto" w:line="360" w:before="0" w:after="120"/>
        <w:ind w:left="567" w:hanging="283"/>
        <w:rPr>
          <w:rFonts w:ascii="Arial" w:hAnsi="Arial" w:eastAsia="Times New Roman" w:cs="Arial"/>
          <w:sz w:val="20"/>
          <w:szCs w:val="20"/>
          <w:lang w:eastAsia="it-IT"/>
        </w:rPr>
      </w:pPr>
      <w:r>
        <w:rPr>
          <w:rFonts w:eastAsia="Times New Roman" w:cs="Arial" w:ascii="Arial" w:hAnsi="Arial"/>
          <w:sz w:val="20"/>
          <w:szCs w:val="20"/>
          <w:lang w:eastAsia="it-IT"/>
        </w:rPr>
        <w:t>che non ci sono soggetti che sono cessati dalla carica societaria nell’anno antecedente la data di pubblicazione del bando di gara;</w:t>
      </w:r>
    </w:p>
    <w:p>
      <w:pPr>
        <w:pStyle w:val="Normal"/>
        <w:suppressAutoHyphens w:val="true"/>
        <w:spacing w:lineRule="auto" w:line="240" w:before="0" w:after="0"/>
        <w:ind w:left="720" w:hanging="0"/>
        <w:contextualSpacing/>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r>
    </w:p>
    <w:p>
      <w:pPr>
        <w:pStyle w:val="Normal"/>
        <w:spacing w:lineRule="auto" w:line="360" w:before="62" w:after="62"/>
        <w:ind w:left="720" w:hanging="0"/>
        <w:jc w:val="both"/>
        <w:rPr>
          <w:rFonts w:ascii="Arial" w:hAnsi="Arial" w:eastAsia="Times New Roman" w:cs="Arial"/>
          <w:color w:val="000000"/>
          <w:sz w:val="20"/>
          <w:szCs w:val="20"/>
          <w:lang w:eastAsia="it-IT"/>
        </w:rPr>
      </w:pPr>
      <w:r>
        <w:rPr>
          <w:rFonts w:eastAsia="Times New Roman" w:cs="Arial" w:ascii="Arial" w:hAnsi="Arial"/>
          <w:i/>
          <w:iCs/>
          <w:color w:val="000000"/>
          <w:sz w:val="20"/>
          <w:szCs w:val="20"/>
          <w:lang w:eastAsia="it-IT"/>
        </w:rPr>
        <w:t xml:space="preserve">(In caso </w:t>
      </w:r>
      <w:r>
        <w:rPr>
          <w:rFonts w:eastAsia="Times New Roman" w:cs="Arial" w:ascii="Arial" w:hAnsi="Arial"/>
          <w:i/>
          <w:iCs/>
          <w:color w:val="000000"/>
          <w:sz w:val="20"/>
          <w:szCs w:val="20"/>
          <w:u w:val="single"/>
          <w:lang w:eastAsia="it-IT"/>
        </w:rPr>
        <w:t xml:space="preserve">di incorporazione, fusione societaria o cessione d’azienda, </w:t>
      </w:r>
      <w:r>
        <w:rPr>
          <w:rFonts w:eastAsia="Times New Roman" w:cs="Arial" w:ascii="Arial" w:hAnsi="Arial"/>
          <w:i/>
          <w:iCs/>
          <w:color w:val="000000"/>
          <w:sz w:val="20"/>
          <w:szCs w:val="20"/>
          <w:lang w:eastAsia="it-IT"/>
        </w:rPr>
        <w:t>le dichiarazioni circa l’assenza dei motivi di esclusione di cui all’art. 94 del Codice, devono riferirsi anche ai soggetti di cui all’art. 94 comma 3 del Codice che hanno operato presso la società incorporata, fusasi o che ha ceduto l’azienda nell’anno antecedente la data di pubblicazione del bando di gara)</w:t>
      </w:r>
    </w:p>
    <w:p>
      <w:pPr>
        <w:pStyle w:val="Normal"/>
        <w:spacing w:lineRule="auto" w:line="240" w:beforeAutospacing="1" w:after="62"/>
        <w:ind w:firstLine="708"/>
        <w:jc w:val="both"/>
        <w:rPr>
          <w:rFonts w:ascii="Arial" w:hAnsi="Arial" w:eastAsia="Times New Roman" w:cs="Arial"/>
          <w:sz w:val="20"/>
          <w:szCs w:val="20"/>
          <w:lang w:eastAsia="it-IT"/>
        </w:rPr>
      </w:pPr>
      <w:r>
        <w:rPr>
          <w:rFonts w:eastAsia="Times New Roman" w:cs="Arial" w:ascii="Arial" w:hAnsi="Arial"/>
          <w:i/>
          <w:iCs/>
          <w:sz w:val="20"/>
          <w:szCs w:val="20"/>
          <w:lang w:eastAsia="it-IT"/>
        </w:rPr>
        <w:t>Si rammenta che:</w:t>
      </w:r>
    </w:p>
    <w:p>
      <w:pPr>
        <w:pStyle w:val="Normal"/>
        <w:numPr>
          <w:ilvl w:val="0"/>
          <w:numId w:val="4"/>
        </w:numPr>
        <w:suppressAutoHyphens w:val="true"/>
        <w:spacing w:lineRule="auto" w:line="240" w:beforeAutospacing="1" w:after="62"/>
        <w:contextualSpacing/>
        <w:jc w:val="both"/>
        <w:rPr>
          <w:rFonts w:ascii="Arial" w:hAnsi="Arial" w:eastAsia="Times New Roman" w:cs="Arial"/>
          <w:sz w:val="20"/>
          <w:szCs w:val="20"/>
          <w:lang w:eastAsia="it-IT"/>
        </w:rPr>
      </w:pPr>
      <w:r>
        <w:rPr>
          <w:rFonts w:eastAsia="Times New Roman" w:cs="Arial" w:ascii="Arial" w:hAnsi="Arial"/>
          <w:i/>
          <w:iCs/>
          <w:sz w:val="20"/>
          <w:szCs w:val="20"/>
          <w:u w:val="single"/>
          <w:lang w:eastAsia="it-IT"/>
        </w:rPr>
        <w:t>occorre indicare anche le eventuali condanne per le quali il soggetto abbia beneficiato della non menzione</w:t>
      </w:r>
      <w:r>
        <w:rPr>
          <w:rFonts w:eastAsia="Times New Roman" w:cs="Arial" w:ascii="Arial" w:hAnsi="Arial"/>
          <w:sz w:val="20"/>
          <w:szCs w:val="20"/>
          <w:lang w:eastAsia="it-IT"/>
        </w:rPr>
        <w:t>;</w:t>
      </w:r>
    </w:p>
    <w:p>
      <w:pPr>
        <w:pStyle w:val="Normal"/>
        <w:numPr>
          <w:ilvl w:val="0"/>
          <w:numId w:val="4"/>
        </w:numPr>
        <w:suppressAutoHyphens w:val="true"/>
        <w:spacing w:lineRule="auto" w:line="240" w:before="0" w:after="62"/>
        <w:contextualSpacing/>
        <w:jc w:val="both"/>
        <w:rPr>
          <w:rFonts w:ascii="Arial" w:hAnsi="Arial" w:eastAsia="Times New Roman" w:cs="Arial"/>
          <w:sz w:val="20"/>
          <w:szCs w:val="20"/>
          <w:lang w:eastAsia="it-IT"/>
        </w:rPr>
      </w:pPr>
      <w:r>
        <w:rPr>
          <w:rFonts w:eastAsia="Times New Roman" w:cs="Arial" w:ascii="Arial" w:hAnsi="Arial"/>
          <w:i/>
          <w:iCs/>
          <w:sz w:val="20"/>
          <w:szCs w:val="20"/>
          <w:lang w:eastAsia="it-IT"/>
        </w:rPr>
        <w:t>l’esclusione e il divieto operano se la sentenza o il decreto sono stati emessi nei confronti dei soggetti interessati. In ogni caso,  l’esclusione e il divieto operano anche nei confronti dei soggetti cessati dalla carica nell’anno antecedente la data di pubblicazione del bando di gara, qualora l’impresa non dimostri che vi sia stata completa dissociazione della condotta penalmente sanzionata;</w:t>
      </w:r>
    </w:p>
    <w:p>
      <w:pPr>
        <w:pStyle w:val="Normal"/>
        <w:suppressAutoHyphens w:val="true"/>
        <w:spacing w:lineRule="auto" w:line="360" w:beforeAutospacing="1" w:after="119"/>
        <w:ind w:left="360" w:hanging="0"/>
        <w:contextualSpacing/>
        <w:jc w:val="both"/>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numPr>
          <w:ilvl w:val="0"/>
          <w:numId w:val="3"/>
        </w:numPr>
        <w:suppressAutoHyphens w:val="true"/>
        <w:spacing w:lineRule="auto" w:line="360" w:beforeAutospacing="1" w:after="119"/>
        <w:contextualSpacing/>
        <w:jc w:val="both"/>
        <w:rPr>
          <w:rFonts w:ascii="Arial" w:hAnsi="Arial" w:eastAsia="Times New Roman" w:cs="Arial"/>
          <w:sz w:val="20"/>
          <w:szCs w:val="20"/>
          <w:lang w:eastAsia="it-IT"/>
        </w:rPr>
      </w:pPr>
      <w:r>
        <w:rPr>
          <w:rFonts w:eastAsia="Times New Roman" w:cs="Arial" w:ascii="Arial" w:hAnsi="Arial"/>
          <w:sz w:val="20"/>
          <w:szCs w:val="20"/>
          <w:lang w:eastAsia="it-IT"/>
        </w:rPr>
        <w:t>che:</w:t>
      </w:r>
    </w:p>
    <w:p>
      <w:pPr>
        <w:pStyle w:val="Normal"/>
        <w:suppressAutoHyphens w:val="true"/>
        <w:spacing w:lineRule="auto" w:line="360" w:beforeAutospacing="1" w:after="119"/>
        <w:jc w:val="both"/>
        <w:rPr>
          <w:rFonts w:ascii="Arial" w:hAnsi="Arial" w:eastAsia="Times New Roman" w:cs="Arial"/>
          <w:sz w:val="20"/>
          <w:szCs w:val="20"/>
          <w:lang w:eastAsia="it-IT"/>
        </w:rPr>
      </w:pPr>
      <w:r>
        <w:rPr>
          <w:rFonts w:eastAsia="Wingdings" w:cs="Wingdings" w:ascii="Wingdings" w:hAnsi="Wingdings"/>
          <w:sz w:val="20"/>
          <w:szCs w:val="20"/>
          <w:lang w:eastAsia="it-IT"/>
        </w:rPr>
        <w:t></w:t>
      </w:r>
      <w:r>
        <w:rPr>
          <w:rFonts w:eastAsia="Times New Roman" w:cs="Arial" w:ascii="Arial" w:hAnsi="Arial"/>
          <w:sz w:val="20"/>
          <w:szCs w:val="20"/>
          <w:lang w:eastAsia="it-IT"/>
        </w:rPr>
        <w:t xml:space="preserve"> </w:t>
      </w:r>
      <w:r>
        <w:rPr>
          <w:rFonts w:eastAsia="Times New Roman" w:cs="Arial" w:ascii="Arial" w:hAnsi="Arial"/>
          <w:sz w:val="20"/>
          <w:szCs w:val="20"/>
          <w:lang w:eastAsia="it-IT"/>
        </w:rPr>
        <w:t>non sono state commesse gravi infrazioni di cui all’art.95 comma 1 lett a) del Codice nei tre anni antecedenti la data di pubblicazione del bando di gara;</w:t>
      </w:r>
    </w:p>
    <w:p>
      <w:pPr>
        <w:pStyle w:val="ListParagraph"/>
        <w:suppressAutoHyphens w:val="true"/>
        <w:spacing w:lineRule="auto" w:line="360" w:beforeAutospacing="1" w:after="119"/>
        <w:ind w:left="1068" w:hanging="0"/>
        <w:contextualSpacing w:val="false"/>
        <w:jc w:val="center"/>
        <w:rPr>
          <w:rFonts w:ascii="Arial" w:hAnsi="Arial" w:eastAsia="Times New Roman" w:cs="Arial"/>
          <w:sz w:val="20"/>
          <w:szCs w:val="20"/>
          <w:lang w:eastAsia="it-IT"/>
        </w:rPr>
      </w:pPr>
      <w:r>
        <w:rPr>
          <w:rFonts w:eastAsia="Times New Roman" w:cs="Arial" w:ascii="Arial" w:hAnsi="Arial"/>
          <w:sz w:val="20"/>
          <w:szCs w:val="20"/>
          <w:lang w:eastAsia="it-IT"/>
        </w:rPr>
        <w:t>oppure (</w:t>
      </w:r>
      <w:r>
        <w:rPr>
          <w:rFonts w:eastAsia="Times New Roman" w:cs="Arial" w:ascii="Arial" w:hAnsi="Arial"/>
          <w:i/>
          <w:sz w:val="20"/>
          <w:szCs w:val="20"/>
          <w:lang w:eastAsia="it-IT"/>
        </w:rPr>
        <w:t>barrare la parte di interesse</w:t>
      </w:r>
      <w:r>
        <w:rPr>
          <w:rFonts w:eastAsia="Times New Roman" w:cs="Arial" w:ascii="Arial" w:hAnsi="Arial"/>
          <w:sz w:val="20"/>
          <w:szCs w:val="20"/>
          <w:lang w:eastAsia="it-IT"/>
        </w:rPr>
        <w:t>)</w:t>
      </w:r>
    </w:p>
    <w:p>
      <w:pPr>
        <w:pStyle w:val="Normal"/>
        <w:suppressAutoHyphens w:val="true"/>
        <w:spacing w:lineRule="auto" w:line="360" w:beforeAutospacing="1" w:after="119"/>
        <w:jc w:val="both"/>
        <w:rPr>
          <w:rFonts w:ascii="Arial" w:hAnsi="Arial" w:eastAsia="Times New Roman" w:cs="Arial"/>
          <w:sz w:val="20"/>
          <w:szCs w:val="20"/>
          <w:lang w:eastAsia="it-IT"/>
        </w:rPr>
      </w:pPr>
      <w:r>
        <w:rPr>
          <w:rFonts w:eastAsia="Wingdings" w:cs="Wingdings" w:ascii="Wingdings" w:hAnsi="Wingdings"/>
          <w:sz w:val="20"/>
          <w:szCs w:val="20"/>
          <w:lang w:eastAsia="it-IT"/>
        </w:rPr>
        <w:t></w:t>
      </w:r>
      <w:r>
        <w:rPr>
          <w:rFonts w:eastAsia="Times New Roman" w:cs="Arial" w:ascii="Arial" w:hAnsi="Arial"/>
          <w:sz w:val="20"/>
          <w:szCs w:val="20"/>
          <w:lang w:eastAsia="it-IT"/>
        </w:rPr>
        <w:t xml:space="preserve"> </w:t>
      </w:r>
      <w:r>
        <w:rPr>
          <w:rFonts w:eastAsia="Times New Roman" w:cs="Arial" w:ascii="Arial" w:hAnsi="Arial"/>
          <w:sz w:val="20"/>
          <w:szCs w:val="20"/>
          <w:lang w:eastAsia="it-IT"/>
        </w:rPr>
        <w:t>sono state commesse le seguenti gravi infrazioni di cui all’art.95, comma 1 lett a) del Codice nei tre anni antecedenti la data di pubblicazione del bando di gara</w:t>
      </w:r>
    </w:p>
    <w:p>
      <w:pPr>
        <w:pStyle w:val="Norma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t>____________________________________________________________________________________________________________________________________________________________________________</w:t>
      </w:r>
    </w:p>
    <w:p>
      <w:pPr>
        <w:pStyle w:val="Normal"/>
        <w:suppressAutoHyphens w:val="true"/>
        <w:spacing w:lineRule="auto" w:line="360" w:beforeAutospacing="1" w:after="119"/>
        <w:jc w:val="both"/>
        <w:rPr>
          <w:rFonts w:ascii="Arial" w:hAnsi="Arial" w:eastAsia="Times New Roman" w:cs="Arial"/>
          <w:sz w:val="20"/>
          <w:szCs w:val="20"/>
          <w:lang w:eastAsia="it-IT"/>
        </w:rPr>
      </w:pPr>
      <w:r>
        <w:rPr>
          <w:rFonts w:eastAsia="Wingdings" w:cs="Wingdings" w:ascii="Wingdings" w:hAnsi="Wingdings"/>
          <w:sz w:val="20"/>
          <w:szCs w:val="20"/>
          <w:lang w:eastAsia="it-IT"/>
        </w:rPr>
        <w:t></w:t>
      </w:r>
      <w:r>
        <w:rPr>
          <w:rFonts w:eastAsia="Times New Roman" w:cs="Arial" w:ascii="Arial" w:hAnsi="Arial"/>
          <w:sz w:val="20"/>
          <w:szCs w:val="20"/>
          <w:lang w:eastAsia="it-IT"/>
        </w:rPr>
        <w:t xml:space="preserve"> </w:t>
      </w:r>
      <w:r>
        <w:rPr>
          <w:rFonts w:eastAsia="Times New Roman" w:cs="Arial" w:ascii="Arial" w:hAnsi="Arial"/>
          <w:sz w:val="20"/>
          <w:szCs w:val="20"/>
          <w:lang w:eastAsia="it-IT"/>
        </w:rPr>
        <w:t>gli atti e i provvedimenti indicati all’art.98 comma 6 del Codice emessi nei tre anni antecedenti la data di pubblicazione del bando di gara</w:t>
      </w:r>
    </w:p>
    <w:p>
      <w:pPr>
        <w:pStyle w:val="Normal"/>
        <w:suppressAutoHyphens w:val="true"/>
        <w:spacing w:lineRule="auto" w:line="360" w:beforeAutospacing="1" w:after="119"/>
        <w:jc w:val="both"/>
        <w:rPr>
          <w:rFonts w:ascii="Arial" w:hAnsi="Arial" w:eastAsia="Times New Roman" w:cs="Arial"/>
          <w:sz w:val="20"/>
          <w:szCs w:val="20"/>
          <w:lang w:eastAsia="it-IT"/>
        </w:rPr>
      </w:pPr>
      <w:r>
        <w:rPr>
          <w:rFonts w:eastAsia="Times New Roman" w:cs="Arial" w:ascii="Arial" w:hAnsi="Arial"/>
          <w:sz w:val="20"/>
          <w:szCs w:val="20"/>
          <w:lang w:eastAsia="it-IT"/>
        </w:rPr>
        <w:t>____________________________________________________________________________________________________________________________________________________________________________</w:t>
      </w:r>
    </w:p>
    <w:p>
      <w:pPr>
        <w:pStyle w:val="Normal"/>
        <w:suppressAutoHyphens w:val="true"/>
        <w:spacing w:lineRule="auto" w:line="360" w:beforeAutospacing="1" w:after="119"/>
        <w:jc w:val="center"/>
        <w:rPr>
          <w:rFonts w:ascii="Arial" w:hAnsi="Arial" w:eastAsia="Times New Roman" w:cs="Arial"/>
          <w:sz w:val="20"/>
          <w:szCs w:val="20"/>
          <w:lang w:eastAsia="it-IT"/>
        </w:rPr>
      </w:pPr>
      <w:r>
        <w:rPr>
          <w:rFonts w:eastAsia="Times New Roman" w:cs="Arial" w:ascii="Arial" w:hAnsi="Arial"/>
          <w:sz w:val="20"/>
          <w:szCs w:val="20"/>
          <w:lang w:eastAsia="it-IT"/>
        </w:rPr>
        <w:t>oppure (</w:t>
      </w:r>
      <w:r>
        <w:rPr>
          <w:rFonts w:eastAsia="Times New Roman" w:cs="Arial" w:ascii="Arial" w:hAnsi="Arial"/>
          <w:i/>
          <w:sz w:val="20"/>
          <w:szCs w:val="20"/>
          <w:lang w:eastAsia="it-IT"/>
        </w:rPr>
        <w:t>barrare la parte di interesse</w:t>
      </w:r>
      <w:r>
        <w:rPr>
          <w:rFonts w:eastAsia="Times New Roman" w:cs="Arial" w:ascii="Arial" w:hAnsi="Arial"/>
          <w:sz w:val="20"/>
          <w:szCs w:val="20"/>
          <w:lang w:eastAsia="it-IT"/>
        </w:rPr>
        <w:t>)</w:t>
      </w:r>
    </w:p>
    <w:p>
      <w:pPr>
        <w:pStyle w:val="Normal"/>
        <w:suppressAutoHyphens w:val="true"/>
        <w:spacing w:lineRule="auto" w:line="360" w:beforeAutospacing="1" w:after="119"/>
        <w:jc w:val="both"/>
        <w:rPr>
          <w:rFonts w:ascii="Arial" w:hAnsi="Arial" w:eastAsia="Times New Roman" w:cs="Arial"/>
          <w:sz w:val="20"/>
          <w:szCs w:val="20"/>
          <w:lang w:eastAsia="it-IT"/>
        </w:rPr>
      </w:pPr>
      <w:r>
        <w:rPr>
          <w:rFonts w:eastAsia="Wingdings" w:cs="Wingdings" w:ascii="Wingdings" w:hAnsi="Wingdings"/>
          <w:sz w:val="20"/>
          <w:szCs w:val="20"/>
          <w:lang w:eastAsia="it-IT"/>
        </w:rPr>
        <w:t></w:t>
      </w:r>
      <w:r>
        <w:rPr>
          <w:rFonts w:eastAsia="Times New Roman" w:cs="Arial" w:ascii="Arial" w:hAnsi="Arial"/>
          <w:sz w:val="20"/>
          <w:szCs w:val="20"/>
          <w:lang w:eastAsia="it-IT"/>
        </w:rPr>
        <w:t xml:space="preserve"> </w:t>
      </w:r>
      <w:r>
        <w:rPr>
          <w:rFonts w:eastAsia="Times New Roman" w:cs="Arial" w:ascii="Arial" w:hAnsi="Arial"/>
          <w:sz w:val="20"/>
          <w:szCs w:val="20"/>
          <w:lang w:eastAsia="it-IT"/>
        </w:rPr>
        <w:t>non sono presenti atti e provvedimenti indicati all’art.98 comma 6 del Codice</w:t>
      </w:r>
    </w:p>
    <w:p>
      <w:pPr>
        <w:pStyle w:val="Normal"/>
        <w:suppressAutoHyphens w:val="true"/>
        <w:spacing w:lineRule="auto" w:line="360" w:beforeAutospacing="1" w:after="119"/>
        <w:ind w:left="360" w:hanging="0"/>
        <w:contextualSpacing/>
        <w:jc w:val="center"/>
        <w:rPr>
          <w:rFonts w:ascii="Arial" w:hAnsi="Arial" w:eastAsia="Times New Roman" w:cs="Arial"/>
          <w:sz w:val="20"/>
          <w:szCs w:val="20"/>
          <w:lang w:eastAsia="it-IT"/>
        </w:rPr>
      </w:pPr>
      <w:r>
        <w:rPr>
          <w:rFonts w:eastAsia="Times New Roman" w:cs="Arial" w:ascii="Arial" w:hAnsi="Arial"/>
          <w:sz w:val="20"/>
          <w:szCs w:val="20"/>
          <w:lang w:eastAsia="it-IT"/>
        </w:rPr>
        <w:t>(</w:t>
      </w:r>
      <w:r>
        <w:rPr>
          <w:rFonts w:eastAsia="Times New Roman" w:cs="Arial" w:ascii="Arial" w:hAnsi="Arial"/>
          <w:i/>
          <w:sz w:val="20"/>
          <w:szCs w:val="20"/>
          <w:lang w:eastAsia="it-IT"/>
        </w:rPr>
        <w:t>la dichiarazione va resa anche nel caso di impugnazione in giudizio dei relativi provvedimenti</w:t>
      </w:r>
      <w:r>
        <w:rPr>
          <w:rFonts w:eastAsia="Times New Roman" w:cs="Arial" w:ascii="Arial" w:hAnsi="Arial"/>
          <w:sz w:val="20"/>
          <w:szCs w:val="20"/>
          <w:lang w:eastAsia="it-IT"/>
        </w:rPr>
        <w:t>)</w:t>
      </w:r>
    </w:p>
    <w:p>
      <w:pPr>
        <w:pStyle w:val="Normal"/>
        <w:suppressAutoHyphens w:val="true"/>
        <w:spacing w:lineRule="auto" w:line="360" w:beforeAutospacing="1" w:after="119"/>
        <w:ind w:left="360" w:hanging="0"/>
        <w:contextualSpacing/>
        <w:jc w:val="both"/>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numPr>
          <w:ilvl w:val="0"/>
          <w:numId w:val="3"/>
        </w:numPr>
        <w:suppressAutoHyphens w:val="true"/>
        <w:spacing w:lineRule="auto" w:line="360" w:beforeAutospacing="1" w:after="119"/>
        <w:contextualSpacing/>
        <w:jc w:val="both"/>
        <w:rPr>
          <w:rFonts w:ascii="Arial" w:hAnsi="Arial" w:eastAsia="Times New Roman" w:cs="Arial"/>
          <w:sz w:val="20"/>
          <w:szCs w:val="20"/>
          <w:lang w:eastAsia="it-IT"/>
        </w:rPr>
      </w:pPr>
      <w:r>
        <w:rPr>
          <w:rFonts w:eastAsia="Times New Roman" w:cs="Arial" w:ascii="Arial" w:hAnsi="Arial"/>
          <w:sz w:val="20"/>
          <w:szCs w:val="20"/>
          <w:lang w:eastAsia="it-IT"/>
        </w:rPr>
        <w:t>che:</w:t>
      </w:r>
    </w:p>
    <w:p>
      <w:pPr>
        <w:pStyle w:val="Normal"/>
        <w:suppressAutoHyphens w:val="true"/>
        <w:spacing w:lineRule="auto" w:line="360" w:beforeAutospacing="1" w:after="119"/>
        <w:contextualSpacing/>
        <w:jc w:val="both"/>
        <w:rPr>
          <w:rFonts w:ascii="Arial" w:hAnsi="Arial" w:eastAsia="Times New Roman" w:cs="Arial"/>
          <w:sz w:val="20"/>
          <w:szCs w:val="20"/>
          <w:lang w:eastAsia="it-IT"/>
        </w:rPr>
      </w:pPr>
      <w:r>
        <w:rPr>
          <w:rFonts w:eastAsia="Wingdings" w:cs="Wingdings" w:ascii="Wingdings" w:hAnsi="Wingdings"/>
          <w:sz w:val="20"/>
          <w:szCs w:val="20"/>
          <w:lang w:eastAsia="it-IT"/>
        </w:rPr>
        <w:t></w:t>
      </w:r>
      <w:r>
        <w:rPr>
          <w:rFonts w:eastAsia="Times New Roman" w:cs="Arial" w:ascii="Arial" w:hAnsi="Arial"/>
          <w:sz w:val="20"/>
          <w:szCs w:val="20"/>
          <w:lang w:eastAsia="it-IT"/>
        </w:rPr>
        <w:t xml:space="preserve"> </w:t>
      </w:r>
      <w:r>
        <w:rPr>
          <w:rFonts w:eastAsia="Times New Roman" w:cs="Arial" w:ascii="Arial" w:hAnsi="Arial"/>
          <w:sz w:val="20"/>
          <w:szCs w:val="20"/>
          <w:lang w:eastAsia="it-IT"/>
        </w:rPr>
        <w:t xml:space="preserve">sussistono le seguenti cause di esclusione verificatesi prima della presentazione dell’offerta e sono state adottate le misure di self cleaning che si riportano: </w:t>
      </w:r>
    </w:p>
    <w:p>
      <w:pPr>
        <w:pStyle w:val="Normal"/>
        <w:suppressAutoHyphens w:val="true"/>
        <w:spacing w:lineRule="auto" w:line="360" w:beforeAutospacing="1" w:after="119"/>
        <w:contextualSpacing/>
        <w:jc w:val="both"/>
        <w:rPr>
          <w:rFonts w:ascii="Arial" w:hAnsi="Arial" w:eastAsia="Times New Roman" w:cs="Arial"/>
          <w:sz w:val="20"/>
          <w:szCs w:val="20"/>
          <w:lang w:eastAsia="it-IT"/>
        </w:rPr>
      </w:pPr>
      <w:r>
        <w:rPr>
          <w:rFonts w:eastAsia="Times New Roman" w:cs="Arial" w:ascii="Arial" w:hAnsi="Arial"/>
          <w:sz w:val="20"/>
          <w:szCs w:val="20"/>
          <w:lang w:eastAsia="it-IT"/>
        </w:rPr>
        <w:t>______________________________________________________________________________________</w:t>
      </w:r>
    </w:p>
    <w:p>
      <w:pPr>
        <w:pStyle w:val="ListParagraph"/>
        <w:suppressAutoHyphens w:val="true"/>
        <w:spacing w:lineRule="auto" w:line="360" w:beforeAutospacing="1" w:after="119"/>
        <w:ind w:left="1068" w:hanging="0"/>
        <w:contextualSpacing/>
        <w:jc w:val="center"/>
        <w:rPr>
          <w:rFonts w:ascii="Arial" w:hAnsi="Arial" w:eastAsia="Times New Roman" w:cs="Arial"/>
          <w:sz w:val="20"/>
          <w:szCs w:val="20"/>
          <w:lang w:eastAsia="it-IT"/>
        </w:rPr>
      </w:pPr>
      <w:r>
        <w:rPr>
          <w:rFonts w:eastAsia="Times New Roman" w:cs="Arial" w:ascii="Arial" w:hAnsi="Arial"/>
          <w:sz w:val="20"/>
          <w:szCs w:val="20"/>
          <w:lang w:eastAsia="it-IT"/>
        </w:rPr>
        <w:t>Oppure (</w:t>
      </w:r>
      <w:r>
        <w:rPr>
          <w:rFonts w:eastAsia="Times New Roman" w:cs="Arial" w:ascii="Arial" w:hAnsi="Arial"/>
          <w:i/>
          <w:sz w:val="20"/>
          <w:szCs w:val="20"/>
          <w:lang w:eastAsia="it-IT"/>
        </w:rPr>
        <w:t>barrare la parte di interesse</w:t>
      </w:r>
      <w:r>
        <w:rPr>
          <w:rFonts w:eastAsia="Times New Roman" w:cs="Arial" w:ascii="Arial" w:hAnsi="Arial"/>
          <w:sz w:val="20"/>
          <w:szCs w:val="20"/>
          <w:lang w:eastAsia="it-IT"/>
        </w:rPr>
        <w:t>)</w:t>
      </w:r>
    </w:p>
    <w:p>
      <w:pPr>
        <w:pStyle w:val="Normal"/>
        <w:suppressAutoHyphens w:val="true"/>
        <w:spacing w:lineRule="auto" w:line="360" w:beforeAutospacing="1" w:after="119"/>
        <w:contextualSpacing/>
        <w:jc w:val="both"/>
        <w:rPr>
          <w:rFonts w:ascii="Arial" w:hAnsi="Arial" w:eastAsia="Times New Roman" w:cs="Arial"/>
          <w:sz w:val="20"/>
          <w:szCs w:val="20"/>
          <w:lang w:eastAsia="it-IT"/>
        </w:rPr>
      </w:pPr>
      <w:r>
        <w:rPr>
          <w:rFonts w:eastAsia="Wingdings" w:cs="Wingdings" w:ascii="Wingdings" w:hAnsi="Wingdings"/>
          <w:sz w:val="20"/>
          <w:szCs w:val="20"/>
          <w:lang w:eastAsia="it-IT"/>
        </w:rPr>
        <w:t></w:t>
      </w:r>
      <w:r>
        <w:rPr>
          <w:rFonts w:eastAsia="Times New Roman" w:cs="Arial" w:ascii="Arial" w:hAnsi="Arial"/>
          <w:sz w:val="20"/>
          <w:szCs w:val="20"/>
          <w:lang w:eastAsia="it-IT"/>
        </w:rPr>
        <w:t xml:space="preserve"> </w:t>
      </w:r>
      <w:r>
        <w:rPr>
          <w:rFonts w:eastAsia="Times New Roman" w:cs="Arial" w:ascii="Arial" w:hAnsi="Arial"/>
          <w:sz w:val="20"/>
          <w:szCs w:val="20"/>
          <w:lang w:eastAsia="it-IT"/>
        </w:rPr>
        <w:t>sussistono le seguenti cause di esclusione verificatesi prima della presentazione dell’offerta e dimostra l’impossibilità di adottare tali misure di self cleaning prima della presentazione dell’offerta per le ragioni che si riportano:</w:t>
      </w:r>
    </w:p>
    <w:p>
      <w:pPr>
        <w:pStyle w:val="Normal"/>
        <w:suppressAutoHyphens w:val="true"/>
        <w:spacing w:lineRule="auto" w:line="360" w:beforeAutospacing="1" w:after="119"/>
        <w:contextualSpacing/>
        <w:jc w:val="both"/>
        <w:rPr>
          <w:rFonts w:ascii="Arial" w:hAnsi="Arial" w:eastAsia="Times New Roman" w:cs="Arial"/>
          <w:sz w:val="20"/>
          <w:szCs w:val="20"/>
          <w:lang w:eastAsia="it-IT"/>
        </w:rPr>
      </w:pPr>
      <w:r>
        <w:rPr>
          <w:rFonts w:eastAsia="Times New Roman" w:cs="Arial" w:ascii="Arial" w:hAnsi="Arial"/>
          <w:sz w:val="20"/>
          <w:szCs w:val="20"/>
          <w:lang w:eastAsia="it-IT"/>
        </w:rPr>
        <w:t>______________________________________________________________________________________</w:t>
      </w:r>
    </w:p>
    <w:p>
      <w:pPr>
        <w:pStyle w:val="ListParagraph"/>
        <w:suppressAutoHyphens w:val="true"/>
        <w:spacing w:lineRule="auto" w:line="360" w:beforeAutospacing="1" w:after="119"/>
        <w:ind w:left="1068" w:hanging="0"/>
        <w:contextualSpacing/>
        <w:jc w:val="center"/>
        <w:rPr>
          <w:rFonts w:ascii="Arial" w:hAnsi="Arial" w:eastAsia="Times New Roman" w:cs="Arial"/>
          <w:sz w:val="20"/>
          <w:szCs w:val="20"/>
          <w:lang w:eastAsia="it-IT"/>
        </w:rPr>
      </w:pPr>
      <w:r>
        <w:rPr>
          <w:rFonts w:eastAsia="Times New Roman" w:cs="Arial" w:ascii="Arial" w:hAnsi="Arial"/>
          <w:sz w:val="20"/>
          <w:szCs w:val="20"/>
          <w:lang w:eastAsia="it-IT"/>
        </w:rPr>
        <w:t>Oppure (</w:t>
      </w:r>
      <w:r>
        <w:rPr>
          <w:rFonts w:eastAsia="Times New Roman" w:cs="Arial" w:ascii="Arial" w:hAnsi="Arial"/>
          <w:i/>
          <w:sz w:val="20"/>
          <w:szCs w:val="20"/>
          <w:lang w:eastAsia="it-IT"/>
        </w:rPr>
        <w:t>barrare la parte di interesse</w:t>
      </w:r>
      <w:r>
        <w:rPr>
          <w:rFonts w:eastAsia="Times New Roman" w:cs="Arial" w:ascii="Arial" w:hAnsi="Arial"/>
          <w:sz w:val="20"/>
          <w:szCs w:val="20"/>
          <w:lang w:eastAsia="it-IT"/>
        </w:rPr>
        <w:t>)</w:t>
      </w:r>
    </w:p>
    <w:p>
      <w:pPr>
        <w:pStyle w:val="Normal"/>
        <w:suppressAutoHyphens w:val="true"/>
        <w:spacing w:lineRule="auto" w:line="360" w:beforeAutospacing="1" w:after="119"/>
        <w:contextualSpacing/>
        <w:jc w:val="both"/>
        <w:rPr>
          <w:rFonts w:ascii="Arial" w:hAnsi="Arial" w:eastAsia="Times New Roman" w:cs="Arial"/>
          <w:sz w:val="20"/>
          <w:szCs w:val="20"/>
          <w:lang w:eastAsia="it-IT"/>
        </w:rPr>
      </w:pPr>
      <w:r>
        <w:rPr>
          <w:rFonts w:eastAsia="Wingdings" w:cs="Wingdings" w:ascii="Wingdings" w:hAnsi="Wingdings"/>
          <w:sz w:val="20"/>
          <w:szCs w:val="20"/>
          <w:lang w:eastAsia="it-IT"/>
        </w:rPr>
        <w:t></w:t>
      </w:r>
      <w:r>
        <w:rPr>
          <w:rFonts w:eastAsia="Times New Roman" w:cs="Arial" w:ascii="Arial" w:hAnsi="Arial"/>
          <w:sz w:val="20"/>
          <w:szCs w:val="20"/>
          <w:lang w:eastAsia="it-IT"/>
        </w:rPr>
        <w:t xml:space="preserve">  </w:t>
      </w:r>
      <w:r>
        <w:rPr>
          <w:rFonts w:eastAsia="Times New Roman" w:cs="Arial" w:ascii="Arial" w:hAnsi="Arial"/>
          <w:sz w:val="20"/>
          <w:szCs w:val="20"/>
          <w:lang w:eastAsia="it-IT"/>
        </w:rPr>
        <w:t>non sussistono cause di esclusione verificatesi prima della presentazione dell’offerta.</w:t>
      </w:r>
    </w:p>
    <w:p>
      <w:pPr>
        <w:pStyle w:val="Normal"/>
        <w:numPr>
          <w:ilvl w:val="0"/>
          <w:numId w:val="3"/>
        </w:numPr>
        <w:suppressAutoHyphens w:val="true"/>
        <w:spacing w:lineRule="auto" w:line="360" w:beforeAutospacing="1" w:after="119"/>
        <w:contextualSpacing/>
        <w:jc w:val="both"/>
        <w:rPr>
          <w:rFonts w:ascii="Arial" w:hAnsi="Arial" w:eastAsia="Times New Roman" w:cs="Arial"/>
          <w:sz w:val="20"/>
          <w:szCs w:val="20"/>
          <w:lang w:eastAsia="it-IT"/>
        </w:rPr>
      </w:pPr>
      <w:r>
        <w:rPr>
          <w:rFonts w:eastAsia="Times New Roman" w:cs="Arial" w:ascii="Arial" w:hAnsi="Arial"/>
          <w:sz w:val="20"/>
          <w:szCs w:val="20"/>
          <w:lang w:eastAsia="it-IT"/>
        </w:rPr>
        <w:t>che per i soggetti di cui all’art. 94 comma 3 del Codice non sussistono le condizioni di cui all’art. 98 comma 3 lett. g) ed h) ;</w:t>
      </w:r>
    </w:p>
    <w:p>
      <w:pPr>
        <w:pStyle w:val="Normal"/>
        <w:numPr>
          <w:ilvl w:val="0"/>
          <w:numId w:val="3"/>
        </w:numPr>
        <w:suppressAutoHyphens w:val="true"/>
        <w:spacing w:lineRule="auto" w:line="360" w:before="0" w:after="0"/>
        <w:jc w:val="both"/>
        <w:rPr>
          <w:rFonts w:ascii="Arial" w:hAnsi="Arial" w:eastAsia="Times New Roman" w:cs="Arial"/>
          <w:color w:val="000000"/>
          <w:sz w:val="20"/>
          <w:szCs w:val="20"/>
          <w:lang w:eastAsia="it-IT"/>
        </w:rPr>
      </w:pPr>
      <w:r>
        <w:rPr>
          <w:rFonts w:eastAsia="Times New Roman" w:cs="Arial" w:ascii="Arial" w:hAnsi="Arial"/>
          <w:b/>
          <w:bCs/>
          <w:color w:val="000000"/>
          <w:sz w:val="20"/>
          <w:szCs w:val="20"/>
          <w:lang w:eastAsia="it-IT"/>
        </w:rPr>
        <w:t>applicabile/non applicabile (barrare la parte di interesse)- Per gli operatori economici ammessi al concordato preventivo con continuità aziendale di cui all’articolo 1856 bis del R.D. 16 ma1942, n. 267 :</w:t>
      </w:r>
      <w:r>
        <w:rPr>
          <w:rFonts w:eastAsia="Times New Roman" w:cs="Arial" w:ascii="Arial" w:hAnsi="Arial"/>
          <w:color w:val="000000"/>
          <w:sz w:val="20"/>
          <w:szCs w:val="20"/>
          <w:lang w:eastAsia="it-IT"/>
        </w:rPr>
        <w:t xml:space="preserve"> indica gli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 Allega una relazione di un professionista in possesso dei requisiti di cui all'articolo 67, terzo comma, lettera d), del Regio Decreto 16 marzo 1942, n. 267, che attesta la conformità al piano e la ragionevole capacità di adempimento del contratto</w:t>
      </w:r>
    </w:p>
    <w:p>
      <w:pPr>
        <w:pStyle w:val="Normal"/>
        <w:numPr>
          <w:ilvl w:val="0"/>
          <w:numId w:val="3"/>
        </w:numPr>
        <w:suppressAutoHyphens w:val="true"/>
        <w:spacing w:lineRule="auto" w:line="360" w:before="0" w:after="0"/>
        <w:jc w:val="both"/>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w:t>
      </w:r>
    </w:p>
    <w:p>
      <w:pPr>
        <w:pStyle w:val="Normal"/>
        <w:numPr>
          <w:ilvl w:val="0"/>
          <w:numId w:val="3"/>
        </w:numPr>
        <w:suppressAutoHyphens w:val="true"/>
        <w:spacing w:lineRule="auto" w:line="360" w:before="0" w:after="0"/>
        <w:jc w:val="both"/>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t>di accettare, senza condizione o riserva alcuna, tutte le norme e disposizioni contenute nella documentazione gara;</w:t>
      </w:r>
    </w:p>
    <w:p>
      <w:pPr>
        <w:pStyle w:val="Normal"/>
        <w:numPr>
          <w:ilvl w:val="0"/>
          <w:numId w:val="3"/>
        </w:numPr>
        <w:suppressAutoHyphens w:val="true"/>
        <w:spacing w:lineRule="auto" w:line="360" w:before="0" w:after="0"/>
        <w:jc w:val="both"/>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t xml:space="preserve">di garantire le pari opportunità generazionali, di genere e di inclusione lavorativa </w:t>
      </w:r>
      <w:r>
        <w:rPr>
          <w:rStyle w:val="Enfasi"/>
        </w:rPr>
        <w:t>per</w:t>
      </w:r>
      <w:r>
        <w:rPr>
          <w:rFonts w:eastAsia="Times New Roman" w:cs="Arial" w:ascii="Arial" w:hAnsi="Arial"/>
          <w:color w:val="000000"/>
          <w:sz w:val="20"/>
          <w:szCs w:val="20"/>
          <w:lang w:eastAsia="it-IT"/>
        </w:rPr>
        <w:t xml:space="preserve"> le persone con disabilità o svantaggiate.</w:t>
      </w:r>
    </w:p>
    <w:p>
      <w:pPr>
        <w:pStyle w:val="Normal"/>
        <w:numPr>
          <w:ilvl w:val="0"/>
          <w:numId w:val="3"/>
        </w:numPr>
        <w:suppressAutoHyphens w:val="true"/>
        <w:spacing w:lineRule="auto" w:line="360" w:before="0" w:after="0"/>
        <w:jc w:val="both"/>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t>di essere edotto degli obblighi derivanti dal Codice di comportamento adottato dalla stazione appaltante con la deliberazione 920 del 21/10/2022 reperibile nella sezione “Amministrazione Trasparente” del sito web aziendale, sotto sezione “Disposizioni generali” alla voce “Atti generali” e di impegnarsi, in caso di aggiudicazione, ad osservare e a far osservare ai propri dipendenti e collaboratori, per quanto applicabile, il suddetto codice, pena la risoluzione del contratto;</w:t>
      </w:r>
    </w:p>
    <w:p>
      <w:pPr>
        <w:pStyle w:val="Normal"/>
        <w:numPr>
          <w:ilvl w:val="0"/>
          <w:numId w:val="3"/>
        </w:numPr>
        <w:suppressAutoHyphens w:val="true"/>
        <w:spacing w:lineRule="auto" w:line="360" w:before="0" w:after="0"/>
        <w:jc w:val="both"/>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t>di accettare il patto di integrità di cui al modello allegato al presente disciplinare;</w:t>
      </w:r>
    </w:p>
    <w:p>
      <w:pPr>
        <w:pStyle w:val="Normal"/>
        <w:numPr>
          <w:ilvl w:val="0"/>
          <w:numId w:val="3"/>
        </w:numPr>
        <w:suppressAutoHyphens w:val="true"/>
        <w:spacing w:lineRule="auto" w:line="360" w:before="0" w:after="0"/>
        <w:jc w:val="both"/>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pPr>
        <w:pStyle w:val="Normal"/>
        <w:numPr>
          <w:ilvl w:val="0"/>
          <w:numId w:val="3"/>
        </w:numPr>
        <w:suppressAutoHyphens w:val="true"/>
        <w:spacing w:lineRule="auto" w:line="360" w:before="0" w:after="0"/>
        <w:jc w:val="both"/>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t>per gli operatori economici non residenti e privi di stabile organizzazione in Italia, il domicilio fiscale …, il codice fiscale …, la partita IVA …, l’indirizzo di posta elettronica certificata o strumento analogo negli altri Stati Membri, ai fini delle comunicazioni di cui all’articolo 90 del Codice;</w:t>
      </w:r>
    </w:p>
    <w:p>
      <w:pPr>
        <w:pStyle w:val="Normal"/>
        <w:numPr>
          <w:ilvl w:val="0"/>
          <w:numId w:val="3"/>
        </w:numPr>
        <w:suppressAutoHyphens w:val="true"/>
        <w:spacing w:lineRule="auto" w:line="360" w:before="0" w:after="0"/>
        <w:jc w:val="both"/>
        <w:rPr>
          <w:rFonts w:ascii="Arial" w:hAnsi="Arial" w:eastAsia="Times New Roman" w:cs="Arial"/>
          <w:color w:val="000000"/>
          <w:sz w:val="20"/>
          <w:szCs w:val="20"/>
          <w:lang w:eastAsia="it-IT"/>
        </w:rPr>
      </w:pPr>
      <w:r>
        <w:rPr>
          <w:rFonts w:eastAsia="Times New Roman" w:cs="Arial" w:ascii="Arial" w:hAnsi="Arial"/>
          <w:color w:val="000000"/>
          <w:sz w:val="20"/>
          <w:szCs w:val="20"/>
          <w:lang w:eastAsia="it-IT"/>
        </w:rPr>
        <w:t xml:space="preserve">di aver preso visione e di accettare il trattamento dei dati personali di cui al punto 28. </w:t>
      </w:r>
    </w:p>
    <w:p>
      <w:pPr>
        <w:pStyle w:val="Normal"/>
        <w:numPr>
          <w:ilvl w:val="0"/>
          <w:numId w:val="3"/>
        </w:numPr>
        <w:suppressAutoHyphens w:val="true"/>
        <w:spacing w:lineRule="auto" w:line="360" w:before="0" w:after="119"/>
        <w:jc w:val="both"/>
        <w:rPr>
          <w:rFonts w:ascii="Arial" w:hAnsi="Arial" w:eastAsia="Times New Roman" w:cs="Arial"/>
          <w:sz w:val="20"/>
          <w:szCs w:val="20"/>
          <w:lang w:eastAsia="it-IT"/>
        </w:rPr>
      </w:pPr>
      <w:r>
        <w:rPr>
          <w:rFonts w:eastAsia="Times New Roman" w:cs="Arial" w:ascii="Arial" w:hAnsi="Arial"/>
          <w:sz w:val="20"/>
          <w:szCs w:val="20"/>
          <w:lang w:eastAsia="it-IT"/>
        </w:rPr>
        <w:t>di essere a conoscenza che la Stazione Appaltante si riserva il diritto di procedere d’ufficio a verifiche, anche a campione, in ordine alla veridicità delle dichiarazioni rilasciate da questa Impresa in sede di offerta e, comunque, nel corso della procedura di gara, ai sensi e per gli effetti della normativa vigente;</w:t>
      </w:r>
    </w:p>
    <w:p>
      <w:pPr>
        <w:pStyle w:val="Normal"/>
        <w:suppressAutoHyphens w:val="true"/>
        <w:spacing w:lineRule="auto" w:line="240" w:before="0" w:after="0"/>
        <w:ind w:right="-1" w:hanging="0"/>
        <w:jc w:val="both"/>
        <w:rPr>
          <w:rFonts w:ascii="Calibri" w:hAnsi="Calibri" w:eastAsia="Calibri" w:cs="Calibri"/>
          <w:sz w:val="24"/>
          <w:szCs w:val="24"/>
          <w:lang w:eastAsia="it-IT"/>
        </w:rPr>
      </w:pPr>
      <w:r>
        <w:rPr>
          <w:rFonts w:eastAsia="Calibri" w:cs="Calibri"/>
          <w:sz w:val="24"/>
          <w:szCs w:val="24"/>
          <w:lang w:eastAsia="it-IT"/>
        </w:rPr>
      </w:r>
    </w:p>
    <w:p>
      <w:pPr>
        <w:pStyle w:val="Normal"/>
        <w:tabs>
          <w:tab w:val="clear" w:pos="708"/>
          <w:tab w:val="left" w:pos="1843" w:leader="none"/>
          <w:tab w:val="left" w:pos="6237" w:leader="none"/>
          <w:tab w:val="left" w:pos="7797" w:leader="none"/>
        </w:tabs>
        <w:suppressAutoHyphens w:val="true"/>
        <w:spacing w:lineRule="auto" w:line="240" w:before="0" w:after="0"/>
        <w:ind w:left="6096" w:right="-1" w:hanging="0"/>
        <w:jc w:val="center"/>
        <w:rPr>
          <w:rFonts w:ascii="Arial" w:hAnsi="Arial" w:eastAsia="Times New Roman" w:cs="Arial"/>
          <w:sz w:val="20"/>
          <w:szCs w:val="20"/>
          <w:lang w:eastAsia="it-IT"/>
        </w:rPr>
      </w:pPr>
      <w:r>
        <w:rPr>
          <w:rFonts w:eastAsia="Times New Roman" w:cs="Arial" w:ascii="Arial" w:hAnsi="Arial"/>
          <w:sz w:val="20"/>
          <w:szCs w:val="20"/>
          <w:lang w:eastAsia="it-IT"/>
        </w:rPr>
        <w:t>L’operatore Economico</w:t>
      </w:r>
    </w:p>
    <w:p>
      <w:pPr>
        <w:pStyle w:val="Normal"/>
        <w:tabs>
          <w:tab w:val="clear" w:pos="708"/>
          <w:tab w:val="left" w:pos="1843" w:leader="none"/>
          <w:tab w:val="left" w:pos="6237" w:leader="none"/>
          <w:tab w:val="left" w:pos="7797" w:leader="none"/>
        </w:tabs>
        <w:suppressAutoHyphens w:val="true"/>
        <w:spacing w:lineRule="auto" w:line="240" w:before="0" w:after="0"/>
        <w:ind w:left="6096" w:right="-1" w:hanging="0"/>
        <w:jc w:val="center"/>
        <w:rPr>
          <w:rFonts w:ascii="Arial" w:hAnsi="Arial" w:eastAsia="Times New Roman" w:cs="Arial"/>
          <w:sz w:val="20"/>
          <w:szCs w:val="20"/>
          <w:lang w:eastAsia="it-IT"/>
        </w:rPr>
      </w:pPr>
      <w:r>
        <w:rPr>
          <w:rFonts w:eastAsia="Times New Roman" w:cs="Arial" w:ascii="Arial" w:hAnsi="Arial"/>
          <w:sz w:val="20"/>
          <w:szCs w:val="20"/>
          <w:lang w:eastAsia="it-IT"/>
        </w:rPr>
      </w:r>
    </w:p>
    <w:p>
      <w:pPr>
        <w:pStyle w:val="Normal"/>
        <w:tabs>
          <w:tab w:val="clear" w:pos="708"/>
          <w:tab w:val="left" w:pos="1843" w:leader="none"/>
          <w:tab w:val="left" w:pos="6237" w:leader="none"/>
          <w:tab w:val="left" w:pos="7797" w:leader="none"/>
        </w:tabs>
        <w:suppressAutoHyphens w:val="true"/>
        <w:spacing w:lineRule="auto" w:line="240" w:before="0" w:after="0"/>
        <w:ind w:left="6096" w:right="-1" w:hanging="0"/>
        <w:jc w:val="center"/>
        <w:rPr>
          <w:rFonts w:ascii="Arial" w:hAnsi="Arial" w:eastAsia="Times New Roman" w:cs="Arial"/>
          <w:sz w:val="20"/>
          <w:szCs w:val="20"/>
          <w:lang w:eastAsia="it-IT"/>
        </w:rPr>
      </w:pPr>
      <w:r>
        <w:rPr>
          <w:rFonts w:eastAsia="Times New Roman" w:cs="Arial" w:ascii="Arial" w:hAnsi="Arial"/>
          <w:sz w:val="20"/>
          <w:szCs w:val="20"/>
          <w:lang w:eastAsia="it-IT"/>
        </w:rPr>
        <w:t>(firma digitale)</w:t>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sz w:val="24"/>
        <w:rFonts w:ascii="Calibri" w:hAnsi="Calibri" w:cs="Calibri" w:asciiTheme="minorHAnsi" w:cstheme="minorHAnsi" w:hAnsiTheme="minorHAnsi"/>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8"/>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5">
    <w:lvl w:ilvl="0">
      <w:numFmt w:val="bullet"/>
      <w:lvlText w:val="-"/>
      <w:lvlJc w:val="left"/>
      <w:pPr>
        <w:tabs>
          <w:tab w:val="num" w:pos="0"/>
        </w:tabs>
        <w:ind w:left="1068" w:hanging="360"/>
      </w:pPr>
      <w:rPr>
        <w:rFonts w:ascii="Arial" w:hAnsi="Arial" w:cs="Aria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6a5cc6"/>
    <w:rPr>
      <w:rFonts w:ascii="Tahoma" w:hAnsi="Tahoma" w:cs="Tahoma"/>
      <w:sz w:val="16"/>
      <w:szCs w:val="16"/>
    </w:rPr>
  </w:style>
  <w:style w:type="character" w:styleId="Enfasi">
    <w:name w:val="Enfasi"/>
    <w:basedOn w:val="DefaultParagraphFont"/>
    <w:uiPriority w:val="20"/>
    <w:qFormat/>
    <w:rsid w:val="003f6a34"/>
    <w:rPr>
      <w:i/>
      <w:iCs/>
    </w:rPr>
  </w:style>
  <w:style w:type="character" w:styleId="CollegamentoInternet">
    <w:name w:val="Collegamento Internet"/>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BalloonText">
    <w:name w:val="Balloon Text"/>
    <w:basedOn w:val="Normal"/>
    <w:link w:val="TestofumettoCarattere"/>
    <w:uiPriority w:val="99"/>
    <w:semiHidden/>
    <w:unhideWhenUsed/>
    <w:qFormat/>
    <w:rsid w:val="006a5cc6"/>
    <w:pPr>
      <w:spacing w:lineRule="auto" w:line="240" w:before="0" w:after="0"/>
    </w:pPr>
    <w:rPr>
      <w:rFonts w:ascii="Tahoma" w:hAnsi="Tahoma" w:cs="Tahoma"/>
      <w:sz w:val="16"/>
      <w:szCs w:val="16"/>
    </w:rPr>
  </w:style>
  <w:style w:type="paragraph" w:styleId="ListParagraph">
    <w:name w:val="List Paragraph"/>
    <w:basedOn w:val="Normal"/>
    <w:uiPriority w:val="34"/>
    <w:qFormat/>
    <w:rsid w:val="006a5cc6"/>
    <w:pPr>
      <w:spacing w:before="0" w:after="20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Grigliatabella1">
    <w:name w:val="Griglia tabella1"/>
    <w:basedOn w:val="Tabellanormale"/>
    <w:uiPriority w:val="39"/>
    <w:rsid w:val="006a5c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Grigliatabella">
    <w:name w:val="Table Grid"/>
    <w:basedOn w:val="Tabellanormale"/>
    <w:uiPriority w:val="59"/>
    <w:rsid w:val="006a5cc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anticorruzione.it/portal/public/classic/AttivitaAutorita/AttiDellAutorita/_Atto?ca=69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74954-03E1-4989-A4B1-F3A30E58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Application>LibreOffice/7.2.5.2$Windows_X86_64 LibreOffice_project/499f9727c189e6ef3471021d6132d4c694f357e5</Application>
  <AppVersion>15.0000</AppVersion>
  <Pages>6</Pages>
  <Words>1700</Words>
  <Characters>10102</Characters>
  <CharactersWithSpaces>11680</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2023-09-11T10:57:00Z</dcterms:created>
  <dc:creator>sfiorillo</dc:creator>
  <dc:description/>
  <dc:language>it-IT</dc:language>
  <cp:lastModifiedBy/>
  <cp:lastPrinted>2023-10-12T11:11:00Z</cp:lastPrinted>
  <dcterms:modified xsi:type="dcterms:W3CDTF">2023-11-06T14:56:34Z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