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  <w:b/>
          <w:b/>
          <w:sz w:val="18"/>
        </w:rPr>
      </w:pPr>
      <w:r>
        <w:rPr>
          <w:rFonts w:ascii="Bookman Old Style" w:hAnsi="Bookman Old Style"/>
          <w:b/>
          <w:sz w:val="18"/>
        </w:rPr>
        <w:t>SITUAZIONE CONCORSI PUBBLICI ESPLETATI DAL 1.1.2023 AL 30.6.2023 IN OTTEMPERANZA ALL’ART. 19 D.LGS. 33/2013 E SS.MM.II.</w:t>
      </w:r>
    </w:p>
    <w:p>
      <w:pPr>
        <w:pStyle w:val="Normal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</w:r>
    </w:p>
    <w:tbl>
      <w:tblPr>
        <w:tblStyle w:val="Grigliatabella"/>
        <w:tblW w:w="15168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7"/>
        <w:gridCol w:w="3565"/>
        <w:gridCol w:w="2976"/>
        <w:gridCol w:w="1700"/>
        <w:gridCol w:w="2126"/>
        <w:gridCol w:w="1842"/>
        <w:gridCol w:w="1"/>
        <w:gridCol w:w="2410"/>
      </w:tblGrid>
      <w:tr>
        <w:trPr>
          <w:trHeight w:val="526" w:hRule="atLeast"/>
        </w:trPr>
        <w:tc>
          <w:tcPr>
            <w:tcW w:w="54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N.</w:t>
            </w:r>
          </w:p>
        </w:tc>
        <w:tc>
          <w:tcPr>
            <w:tcW w:w="356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BANDI DI CONCORSO PER IL RECLUTAMENTO, A QUALSIASI TITOLO, DI PERSONA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sz w:val="15"/>
                <w:szCs w:val="15"/>
              </w:rPr>
              <w:t>LE PRESSO L’AMMINISTRAZIONE</w:t>
            </w:r>
          </w:p>
        </w:tc>
        <w:tc>
          <w:tcPr>
            <w:tcW w:w="297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ESTREMI DI PUBBLICAZIONE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TESTO INTEGRALE DEL BANDO</w:t>
            </w:r>
          </w:p>
        </w:tc>
        <w:tc>
          <w:tcPr>
            <w:tcW w:w="566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CRITERI DI VALUTAZIONE</w:t>
            </w:r>
          </w:p>
        </w:tc>
        <w:tc>
          <w:tcPr>
            <w:tcW w:w="241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TRACCE PROVE SCRITTE</w:t>
            </w:r>
          </w:p>
        </w:tc>
      </w:tr>
      <w:tr>
        <w:trPr>
          <w:trHeight w:val="610" w:hRule="atLeast"/>
        </w:trPr>
        <w:tc>
          <w:tcPr>
            <w:tcW w:w="5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356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297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TITOLI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PROVE SCRITTE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 xml:space="preserve">PROVA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ORALE</w:t>
            </w:r>
          </w:p>
        </w:tc>
        <w:tc>
          <w:tcPr>
            <w:tcW w:w="241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</w:tr>
      <w:tr>
        <w:trPr>
          <w:trHeight w:val="610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Direzione Medica di Presidio Ospedaliero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40 del 6.10.2022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83 del 18.10.2022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https://www.aslto4.piemonte.it/FileBandi/bando_dmo_6462.pdf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1. Strategia per il controllo delle ICA: ruolo della direzione medica ospedaliera;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2. Articolazione, requisiti di contenuto e funzioni della cartella clinica;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3. Principali indicatori di attività ospedaliera</w:t>
            </w:r>
          </w:p>
        </w:tc>
      </w:tr>
      <w:tr>
        <w:trPr>
          <w:trHeight w:val="610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Medicina interna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40 del 6.10.2022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83 del 18.10.2022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https://www.aslto4.piemonte.it/FileBandi/bando_medicina_6463.pdf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 xml:space="preserve">1. Inquadramento del paziente con dispnea acuta;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2. Inquadramento del paziente con ascite;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3. Inquadramento diagnostico terapeutico del paziente con sepsi</w:t>
            </w:r>
          </w:p>
        </w:tc>
      </w:tr>
      <w:tr>
        <w:trPr>
          <w:trHeight w:val="610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Malattie dell’Apparato respiratorio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43 del 27.10.2022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86 del 8.11.2022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https://www.aslto4.piemonte.it/FileBandi/Pneumologia_6479.pdf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1: Cryptogenic organizing pneumonia: clinica, diagnosi e trattamento;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 xml:space="preserve">2. Deficit di alfa-1 antitrispina: quando sospettarlo, diagnosi, trattamento e followup;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3. La prescrizione dell’ossigenoterapia domiciliare a carico dello specialista pneumologo in pazienti con insufficienza respiratoria cronica: indicazioni e raccomandazioni</w:t>
            </w:r>
          </w:p>
        </w:tc>
      </w:tr>
      <w:tr>
        <w:trPr>
          <w:trHeight w:val="610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4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2 posti di Dirigente Medico nella disciplina di Medicina e Chirurgia d’Accettazione e d’Urgenza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43 del 27.10.2022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86 del 8.11.2022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https://www.aslto4.piemonte.it/FileBandi/Mecau_6480.pdf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 xml:space="preserve">1. Gestione dello stroke in DEA;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2. Inquadramento e gestione dell’insufficienza respiratoria in DEA;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3. Gestione del trauma cranico in DEA</w:t>
            </w:r>
          </w:p>
        </w:tc>
      </w:tr>
      <w:tr>
        <w:trPr>
          <w:trHeight w:val="610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5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Radiodiagnostica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43 del 27.10.2022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86 del 8.11.2022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https://www.aslto4.piemonte.it/FileBandi/Bando_6478.pdf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1. Diagnostica dell’ittero ostruttivo;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2. Diagnostica della pancreatite acuta;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3. Gestione del nodulo polmonare</w:t>
            </w:r>
          </w:p>
        </w:tc>
      </w:tr>
      <w:tr>
        <w:trPr>
          <w:trHeight w:val="610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6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Anestesia e Rianimazione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43 del 27.10.2022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86 del 8.11.2022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https://www.aslto4.piemonte.it/FileBandi/anestesia_bando_6475.pdf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 xml:space="preserve">1. Shock settico;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 xml:space="preserve">2. Gestione arresto cardiaco intraospedaliero;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3. Anestesia nella gravida per il taglio cesareo</w:t>
            </w:r>
          </w:p>
        </w:tc>
      </w:tr>
      <w:tr>
        <w:trPr>
          <w:trHeight w:val="3266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7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Medicina del Lavoro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50 del 5.12.2022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6 del 24.1.2023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https://www.aslto4.piemonte.it/FileBandi/Bando_6529.pdf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1. I contenuti della sorveglianza sanitaria ai sensi dell’art. 41 del D.Lgs 81/2008;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2. Le neoplasie professionali emergenti con particolare approfondimento delle neoplasie amiantocorrelate;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3. I rischi nel settore metalmeccanico: valutazione dei rischi e misure di prevenzione</w:t>
            </w:r>
          </w:p>
        </w:tc>
      </w:tr>
      <w:tr>
        <w:trPr>
          <w:trHeight w:val="2696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8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Assistente Tecnico Perito Meccanico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51 del 22.12.2022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2 del 10.1.2023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https://www.aslto4.piemonte.it/FileBandi/Bando_Perito_meccanico_6512.pdf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B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Cs/>
                <w:sz w:val="15"/>
                <w:szCs w:val="15"/>
              </w:rPr>
              <w:t>1. Il candidato descriva in modo sintetico i compiti e le responsabilità della figura del Responsabile Unico del Procedimento;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Cs/>
                <w:sz w:val="15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Cs/>
                <w:sz w:val="15"/>
                <w:szCs w:val="15"/>
              </w:rPr>
              <w:t>2: Il candidato descriva i compiti e le responsabilità delle figure del Direttore dei Lavori e del Direttore Esecuzione del Contratto;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Cs/>
                <w:sz w:val="15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</w:rPr>
            </w:pPr>
            <w:r>
              <w:rPr>
                <w:rFonts w:ascii="Bookman Old Style" w:hAnsi="Bookman Old Style"/>
                <w:bCs/>
                <w:sz w:val="15"/>
                <w:szCs w:val="15"/>
              </w:rPr>
              <w:t>3. Il candidato descriva in maniera sintetica le fasi progettuali previste dalla normativa vigente</w:t>
            </w:r>
          </w:p>
        </w:tc>
      </w:tr>
      <w:tr>
        <w:trPr>
          <w:trHeight w:val="2267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9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Assistente Tecnico Perito Elettrotecnico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51 del 22.12.2022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2 del 10.1.2023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https://www.aslto4.piemonte.it/FileBandi/Bando_Perito_elettrotecnico_6513.pdf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B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Cs/>
                <w:sz w:val="15"/>
                <w:szCs w:val="15"/>
              </w:rPr>
              <w:t>1. Il candidato descriva un impianto elettrico in un locale medico di gruppo 2;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Cs/>
                <w:sz w:val="15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Cs/>
                <w:sz w:val="15"/>
                <w:szCs w:val="15"/>
              </w:rPr>
              <w:t>2. Il candidato descriva un impianto elettrico in un locale medico di gruppo 1;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Cs/>
                <w:sz w:val="15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Cs/>
                <w:sz w:val="15"/>
                <w:szCs w:val="15"/>
              </w:rPr>
              <w:t>3. Il candidato descriva il sistema di alimentazione di sicurezza che può essere presente in una struttura ospedaliera</w:t>
            </w:r>
          </w:p>
        </w:tc>
      </w:tr>
      <w:tr>
        <w:trPr>
          <w:trHeight w:val="610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10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Pediatria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1 del 5.1.2023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11 del 10.2.2023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https://www.aslto4.piemonte.it/FileBandi/Bando_Pediatria_6542.pdf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 xml:space="preserve">1. Febbre in neonato di 20 giorni: inquadramento diagnostico e terapeutico;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 xml:space="preserve">2. Piastrinopenie immuni: originale, sintomatologia, diagnosi, trattamento e follow-up;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3. La malattia reumatica: inquadramento generale, diagnosi e terapia</w:t>
            </w:r>
          </w:p>
        </w:tc>
      </w:tr>
      <w:tr>
        <w:trPr>
          <w:trHeight w:val="610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11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Concorso Pubblico, per titoli ed esami, per n. 1 posto di Dirigente Medico nella disciplina di Neurologia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2 del 12.1.2023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sz w:val="16"/>
              </w:rPr>
              <w:t xml:space="preserve">GURI n. 6 del 24.1.2023 </w:t>
            </w:r>
            <w:hyperlink r:id="rId12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https://www.aslto4.piemonte.it/FileBandi/Bando_6527.pdf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1. Ictus cardioembolico o aterotrombotico? diagnosi e terapia;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2. La neuromielite ottica: diagnosi e terapia;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3. Parkinsonismi: diagnosi differenziali</w:t>
            </w:r>
          </w:p>
        </w:tc>
      </w:tr>
      <w:tr>
        <w:trPr>
          <w:trHeight w:val="610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12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2 posti di Dirigente Medico nella disciplina di Urologia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BURP n. 5 del 2.2.2023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9 del 3.2.2023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https://www.aslto4.piemonte.it/FileBandi/Bando_6538.pdf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1. Trattamento dei tumori renali;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2. Trattamento del tumore vescicale non muscolo invasivo;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3. Le derivazioni urinarie: classificazione e tecnica chirurgica.</w:t>
            </w:r>
          </w:p>
        </w:tc>
      </w:tr>
      <w:tr>
        <w:trPr>
          <w:trHeight w:val="610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13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Gastroenterologia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7 del 16.2.2023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GURI n. 13 del 17.2.2023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https://www.aslto4.piemonte.it/FileBandi/Bando_Gastroenterologia_6556.pdf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 xml:space="preserve">1. Ittero colestatico ostruttivo: algoritmo diagnostico terapeutico;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 xml:space="preserve">2. Terapia biologica della colite ulcerosa: schema dei farmaci, indicazioni e controindicazioni;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3. Stenting colico: indicazioni e controindicazioni.</w:t>
            </w:r>
          </w:p>
        </w:tc>
      </w:tr>
      <w:tr>
        <w:trPr>
          <w:trHeight w:val="4971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14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Concorso Pubblico, per titoli ed esami, per n. 1 posto di Dirigente Medico nella disciplina di Allergologia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7 del 16.2.2023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GURI n. 13 del 17.2.2023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5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https://www.aslto4.piemonte.it/FileBandi/Bando_Allergologia_6555.pdf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Per la prova scritta sono stati predisposti n. 3 questionari aventi 15 quesiti a risposta multipla, ciascuno con 3 alternative di risposta delle quali solo una esatta: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+2 punti per ogni risposta esatta;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0 punti per ogni risposta errata;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0 punti per ogni risposta omessa o multipla.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La valutazione di sufficienza, con conseguente ammissione alla prova pratica, è raggiunta con il conseguimento di un punteggio finale minimo di almeno 21/30esimi.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1. Questionario A:</w:t>
            </w:r>
            <w:r>
              <w:rPr/>
              <w:t xml:space="preserve"> </w:t>
            </w:r>
            <w:hyperlink r:id="rId16">
              <w:r>
                <w:rPr>
                  <w:rStyle w:val="CollegamentoInternet"/>
                  <w:rFonts w:ascii="Bookman Old Style" w:hAnsi="Bookman Old Style"/>
                  <w:bCs/>
                  <w:sz w:val="16"/>
                  <w:szCs w:val="15"/>
                </w:rPr>
                <w:t>https://www.aslto4.piemonte.it/FileBAndi/Prova_1_6555.pdf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2. Questionario B: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CollegamentoInternet"/>
                  <w:rFonts w:ascii="Bookman Old Style" w:hAnsi="Bookman Old Style"/>
                  <w:bCs/>
                  <w:sz w:val="16"/>
                  <w:szCs w:val="15"/>
                </w:rPr>
                <w:t>https://www.aslto4.piemonte.it/FileBAndi/Prova2_1_6555.pdf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 xml:space="preserve">3. Questionario C: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CollegamentoInternet"/>
                  <w:rFonts w:ascii="Bookman Old Style" w:hAnsi="Bookman Old Style"/>
                  <w:bCs/>
                  <w:sz w:val="16"/>
                  <w:szCs w:val="15"/>
                </w:rPr>
                <w:t>https://www.aslto4.piemonte.it/FileBAndi/Prova3_1_6555.pdf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</w:tc>
      </w:tr>
      <w:tr>
        <w:trPr>
          <w:trHeight w:val="610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15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Concorso Pubblico, per titoli ed esami, per n. 1 posto di Dirigente Medico nella disciplina di Ginecologia ed Ostetricia da assegnare alla S.S.D. Consultori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9 del 2.3.2023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GURI n. 17 del 3.3.2023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9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https://www.aslto4.piemonte.it/FileBandi/Bando_ginecologia_sito_6569.pdf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 xml:space="preserve">1. Gestione clinica del pap-test anomalo;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 xml:space="preserve">2. Diagnosi e gestione ambulatoriale della paziente con diabete gestazionale;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3. Sanguinamenti uterini anomali.</w:t>
            </w:r>
          </w:p>
        </w:tc>
      </w:tr>
      <w:tr>
        <w:trPr>
          <w:trHeight w:val="610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16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Pediatria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16 del 20.4.2023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31 del 21.4.2023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0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https://www.aslto4.piemonte.it/FileBAndi/Pediatria_1_6616.pdf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1. Criteri clinici diagnostici e terapia della Sindrome di Kawasaki;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 xml:space="preserve">2. Terapia e profilassi della bronchiolite;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3. Diagnosi e gestione dell’ipoglicemia neonatale in neonati a rischio nelle prime 24 ore di vita.</w:t>
            </w:r>
          </w:p>
        </w:tc>
      </w:tr>
      <w:tr>
        <w:trPr>
          <w:trHeight w:val="610" w:hRule="atLeast"/>
        </w:trPr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17</w:t>
            </w:r>
          </w:p>
        </w:tc>
        <w:tc>
          <w:tcPr>
            <w:tcW w:w="3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Concorso Pubblico, per titoli ed esami, per n. 1 posto di Dirigente Medico nella disciplina di Ortopedia e Traumatologia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16 del 20.4.2023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31 del 21.4.2023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1">
              <w:r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https://www.aslto4.piemonte.it/FileBAndi/Ortopedia_1_6615.pdf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4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1. Fratture del femore prossimale: inquadramento diagnostico, classificazione e principi di trattamento;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2. Lussazione acromionclaveare: inquadramento diagnostico, classificazione e principi di trattamento;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16"/>
                <w:szCs w:val="15"/>
              </w:rPr>
            </w:pPr>
            <w:r>
              <w:rPr>
                <w:rFonts w:ascii="Bookman Old Style" w:hAnsi="Bookman Old Style"/>
                <w:bCs/>
                <w:sz w:val="16"/>
                <w:szCs w:val="15"/>
              </w:rPr>
              <w:t>3. Lussazione gleno-omerale: inquadramento diagnostico, gestione clinica e principi di trattamento.</w:t>
            </w:r>
          </w:p>
        </w:tc>
      </w:tr>
    </w:tbl>
    <w:p>
      <w:pPr>
        <w:pStyle w:val="Normal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</w:r>
    </w:p>
    <w:p>
      <w:pPr>
        <w:pStyle w:val="Normal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</w:r>
    </w:p>
    <w:p>
      <w:pPr>
        <w:pStyle w:val="Normal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</w:r>
    </w:p>
    <w:p>
      <w:pPr>
        <w:pStyle w:val="Normal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</w:r>
    </w:p>
    <w:p>
      <w:pPr>
        <w:pStyle w:val="Normal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</w:r>
    </w:p>
    <w:p>
      <w:pPr>
        <w:pStyle w:val="Normal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</w:r>
    </w:p>
    <w:p>
      <w:pPr>
        <w:pStyle w:val="Normal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</w:r>
    </w:p>
    <w:p>
      <w:pPr>
        <w:pStyle w:val="Normal"/>
        <w:rPr>
          <w:rFonts w:ascii="Bookman Old Style" w:hAnsi="Bookman Old Style"/>
          <w:b/>
          <w:b/>
          <w:sz w:val="18"/>
        </w:rPr>
      </w:pPr>
      <w:r>
        <w:rPr>
          <w:rFonts w:ascii="Bookman Old Style" w:hAnsi="Bookman Old Style"/>
          <w:b/>
          <w:sz w:val="18"/>
        </w:rPr>
        <w:t>ALLEGATO A)</w:t>
      </w:r>
    </w:p>
    <w:p>
      <w:pPr>
        <w:pStyle w:val="Normal"/>
        <w:rPr>
          <w:rFonts w:ascii="Bookman Old Style" w:hAnsi="Bookman Old Style"/>
          <w:b/>
          <w:b/>
          <w:sz w:val="18"/>
        </w:rPr>
      </w:pPr>
      <w:r>
        <w:rPr>
          <w:rFonts w:ascii="Bookman Old Style" w:hAnsi="Bookman Old Style"/>
          <w:b/>
          <w:sz w:val="18"/>
        </w:rPr>
        <w:t>REGOLE VALUTAZIONE TITOLI PER LA DIRIGENZA DEL RUOLO SANITARIO</w:t>
      </w:r>
    </w:p>
    <w:tbl>
      <w:tblPr>
        <w:tblStyle w:val="Grigliatabella"/>
        <w:tblW w:w="10598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10598"/>
      </w:tblGrid>
      <w:tr>
        <w:trPr/>
        <w:tc>
          <w:tcPr>
            <w:tcW w:w="105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b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CARRIERA (max 10,000 punti)</w:t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arrotonda periodi superiori ai 15 gg a 1 mesi</w:t>
            </w:r>
          </w:p>
          <w:tbl>
            <w:tblPr>
              <w:tblStyle w:val="Grigliatabella"/>
              <w:tblW w:w="1049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02"/>
              <w:gridCol w:w="4568"/>
              <w:gridCol w:w="850"/>
              <w:gridCol w:w="625"/>
              <w:gridCol w:w="850"/>
              <w:gridCol w:w="851"/>
              <w:gridCol w:w="794"/>
              <w:gridCol w:w="624"/>
              <w:gridCol w:w="625"/>
            </w:tblGrid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Unità mis.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Omog.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Sovr.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Specializzazione nella disciplina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1,200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mese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101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Specializzazione in disciplina affine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0,900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110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SSN nella disciplina t.pieno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1,200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111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SSN in disciplina affine t.pieno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0,900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112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SSN in altra disciplina t.pieno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0,600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SSN nella disciplina t.definito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1,000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121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SSN in disciplina affine t.definito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0,750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122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SSN in altra disciplina t.definito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130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SSN nella disciplina liv.inferiore t.pieno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0,600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131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SSN in disciplina affine liv.inferiore t.pieno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0,450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132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SSN in altra disciplina liv.inferiore t.pieno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0,300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140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SSN nella disciplina liv.inferiore t.definito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141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SSN in disciplina affine liv.inferiore t.definito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0,375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142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SSN in altra disciplina liv.inferiore t.definito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0,250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150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Attività ambulatoriale interna nella disciplina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AMB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151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Attività ambulatoriale interna in disciplina affine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0,250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AMB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152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Attività ambulatoriale interna in altra disciplina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0,250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AMB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160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PA come medico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170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Servizio militare/civile come medico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180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case di cura conv. nella disciplina post 6.12.96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1,000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25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181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case di cura conv. in disciplina affine post 6.12.96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0,750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25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182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case di cura conv. in altra disciplina post 6.12.96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25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190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case di cura conv. nella disciplina ante 6.12.96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25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191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case di cura conv. in disciplina affine ante 6.12.96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0,375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25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192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Presso case di cura conv. in altra disciplina ante 6.12.96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0,250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25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199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Titolo non valutabile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</w:tc>
      </w:tr>
      <w:tr>
        <w:trPr/>
        <w:tc>
          <w:tcPr>
            <w:tcW w:w="10598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b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 </w:t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ACCADEMICI E DI STUDIO (max 3,000 punti)</w:t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arrotonda periodi superiori ai 0 gg a 0 mesi</w:t>
            </w:r>
          </w:p>
          <w:tbl>
            <w:tblPr>
              <w:tblStyle w:val="Grigliatabella"/>
              <w:tblW w:w="1049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02"/>
              <w:gridCol w:w="4568"/>
              <w:gridCol w:w="850"/>
              <w:gridCol w:w="625"/>
              <w:gridCol w:w="850"/>
              <w:gridCol w:w="851"/>
              <w:gridCol w:w="794"/>
              <w:gridCol w:w="624"/>
              <w:gridCol w:w="625"/>
            </w:tblGrid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Unità mis.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Omog.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Sovr.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200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Altra specializzazione in disciplina equipollente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1,000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201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Altra specializzazione in disciplina affine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202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Altra specializzazione in altra disciplina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0,250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210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Ulteriore specializzazione in disciplina equipollente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211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Ulteriore specializzazione in disciplina affine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0,250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212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Ulteriore specializzazione in altra disciplina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0,125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220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Altra laurea del ruolo sanitario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298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Titolo non valutabile in quanto requisito di ammissione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299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Titolo non valutabile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</w:tc>
      </w:tr>
      <w:tr>
        <w:trPr/>
        <w:tc>
          <w:tcPr>
            <w:tcW w:w="10598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PUBBLICAZIONI E TITOLI SCIENTIFICI (max 3,000 punti)</w:t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arrotonda periodi superiori ai 0 gg a 0 mesi</w:t>
            </w:r>
          </w:p>
          <w:tbl>
            <w:tblPr>
              <w:tblStyle w:val="Grigliatabella"/>
              <w:tblW w:w="1049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02"/>
              <w:gridCol w:w="4568"/>
              <w:gridCol w:w="850"/>
              <w:gridCol w:w="625"/>
              <w:gridCol w:w="850"/>
              <w:gridCol w:w="851"/>
              <w:gridCol w:w="794"/>
              <w:gridCol w:w="624"/>
              <w:gridCol w:w="625"/>
            </w:tblGrid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Unità mis.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Omog.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Sovr.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300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Pubblicazioni internazionali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0,200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301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Pubblicazioni nazionali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0,080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350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Abstract, poster comunicazioni a congressi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0,020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399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Lavori non valutabili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</w:tc>
      </w:tr>
      <w:tr>
        <w:trPr/>
        <w:tc>
          <w:tcPr>
            <w:tcW w:w="10598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b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 </w:t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CURRICULUM FORMATIVO E PROFESSIONALE (max 4,000 punti)</w:t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arrotonda periodi superiori ai 15 gg a 1 mesi</w:t>
            </w:r>
          </w:p>
          <w:tbl>
            <w:tblPr>
              <w:tblStyle w:val="Grigliatabella"/>
              <w:tblW w:w="1049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02"/>
              <w:gridCol w:w="4568"/>
              <w:gridCol w:w="850"/>
              <w:gridCol w:w="625"/>
              <w:gridCol w:w="850"/>
              <w:gridCol w:w="851"/>
              <w:gridCol w:w="794"/>
              <w:gridCol w:w="624"/>
              <w:gridCol w:w="625"/>
            </w:tblGrid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Unità mis.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Omog.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Sovr.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400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Libera professione, co.co.co., borse di studio, consulenze ecc. presso ASL/ASO nella disciplina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0,480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401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Libera professione, co.co.co., borse di studio, consulenze ecc. presso ASL/ASO in altra disciplina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0,240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405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Rapporti di lavoro subordinato o libero professionale presso privati nella disciplina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0,240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406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Rapporti di lavoro subordinato o libero professionale presso privati in altra disciplina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0,120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410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Dottorato attinente alla disciplina oggetto del concorso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420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Master 1° livello attinente alla disciplina oggetto del concorso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0,100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421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Master 2° livello attinente alla disciplina oggetto del concorso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0,300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422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Corso di formazione specifica di durata superiore all'anno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0,300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430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Attività di docenza a corsi universitari e/o a corsi di formazione professionale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0,001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ore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435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Attività di docenza a corsi universitari e/o corsi di formazione professionale (periodo)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0,240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440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Corso come relatore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0,030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450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Corso di lunga durata con esame (oltre 48 ore)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0,080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451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Corso di lunga durata senza esame (oltre 48 ore)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0,040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452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Corso di breve durata con esame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0,020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453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Corso di breve durata senza esame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0,010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490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Titoli vari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498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Raporti di lavoro subordinato, libera professione, co.co.co., borse di studio, consulenze ecc. non valutabile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>
              <w:trPr/>
              <w:tc>
                <w:tcPr>
                  <w:tcW w:w="7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499</w:t>
                  </w:r>
                </w:p>
              </w:tc>
              <w:tc>
                <w:tcPr>
                  <w:tcW w:w="4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Titoli non valutabili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  <w:tbl>
            <w:tblPr>
              <w:tblStyle w:val="Grigliatabella"/>
              <w:tblW w:w="10598" w:type="dxa"/>
              <w:jc w:val="left"/>
              <w:tblInd w:w="0" w:type="dxa"/>
              <w:tblCellMar>
                <w:top w:w="0" w:type="dxa"/>
                <w:left w:w="57" w:type="dxa"/>
                <w:bottom w:w="0" w:type="dxa"/>
                <w:right w:w="57" w:type="dxa"/>
              </w:tblCellMar>
              <w:tblLook w:firstRow="1" w:noVBand="1" w:lastRow="0" w:firstColumn="1" w:lastColumn="0" w:noHBand="0" w:val="04a0"/>
            </w:tblPr>
            <w:tblGrid>
              <w:gridCol w:w="10598"/>
            </w:tblGrid>
            <w:tr>
              <w:trPr/>
              <w:tc>
                <w:tcPr>
                  <w:tcW w:w="105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b/>
                      <w:b/>
                      <w:sz w:val="16"/>
                    </w:rPr>
                  </w:pPr>
                  <w:r>
                    <w:rPr>
                      <w:rFonts w:ascii="Bookman Old Style" w:hAnsi="Bookman Old Style"/>
                      <w:b/>
                      <w:sz w:val="16"/>
                    </w:rPr>
                    <w:t>CURRICULUM FORMATIVO E PROFESSIONALE (max 4,000 punti)</w:t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arrotonda periodi superiori ai 15 gg a 1 mesi</w:t>
                  </w:r>
                </w:p>
                <w:tbl>
                  <w:tblPr>
                    <w:tblStyle w:val="Grigliatabella"/>
                    <w:tblW w:w="10490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702"/>
                    <w:gridCol w:w="4568"/>
                    <w:gridCol w:w="850"/>
                    <w:gridCol w:w="625"/>
                    <w:gridCol w:w="850"/>
                    <w:gridCol w:w="851"/>
                    <w:gridCol w:w="794"/>
                    <w:gridCol w:w="624"/>
                    <w:gridCol w:w="625"/>
                  </w:tblGrid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Cod.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Regola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Punti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x mesi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Tipo calcolo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Unità mis.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Omog.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Sovr.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% val.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400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Libera professione, co.co.co., borse di studio, consulenze ecc. presso ASL/ASO e altre PA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0,300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402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Posizione Organizzativa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0,200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405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Rapporti di lavoro subordinato, libero professionale, consulenze presso privati attinenti alla posizione funzionale da conferire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0,100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407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Abilitazioni professionali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0,080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410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Dottorato attinente attinente alla posizione funzionale da conferire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0,500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420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Master 1° livello attinente alla posizione funzionale da conferire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0,100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Master 2° livello attinente alla posizione funzionale da conferire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0,300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430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Attività di docenza a corsi universitari e/o a corsi di formazione professionale attinente alla posizione funzionale da conferire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0,001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ore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435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Attività di docenza a corsi universitari e/o corsi di formazione professionale (periodo) attinente alla posizione funzionale da conferire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0,240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440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Corso come relatore attinente alla posizione funzionale da conferire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0,001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ore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450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Corso di lunga durata con esame (superiore alle 48 ore complessive) attinente alla posizione funzionale da conferire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0,080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451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Corso di lunga durata senza esame (superiore alle 48 ore complessive) attinente alla posizione funzionale da conferire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0,040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452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Corso di breve durata con esame (fino a 48 ore complessive) attinente alla posizione funzionale da conferire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0,020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453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Corso di breve durata senza esame (fino a 48 ore complessive)attinente alla posizione funzionale da conferire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0,010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490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Titoli vari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0,000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/>
                    <w:tc>
                      <w:tcPr>
                        <w:tcW w:w="70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498</w:t>
                        </w:r>
                      </w:p>
                    </w:tc>
                    <w:tc>
                      <w:tcPr>
                        <w:tcW w:w="45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Rapporti di lavoro subordinato, libera professione, co.co.co., borse di studio, consulenze ecc. non valutabile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0,000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before="0" w:after="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before="0" w:after="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b/>
                      <w:b/>
                      <w:sz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</w:rPr>
                    <w:t xml:space="preserve">ALLEGATO B) </w:t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b/>
                      <w:b/>
                      <w:sz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</w:rPr>
                    <w:t xml:space="preserve">REGOLE VALUTAZIONE DEI TITOLI PER IL COMPARTO – RUOLO TECNICO </w:t>
                  </w:r>
                </w:p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4"/>
                    </w:rPr>
                  </w:pPr>
                  <w:r>
                    <w:rPr>
                      <w:rFonts w:ascii="Bookman Old Style" w:hAnsi="Bookman Old Style"/>
                      <w:sz w:val="14"/>
                    </w:rPr>
                  </w:r>
                </w:p>
                <w:tbl>
                  <w:tblPr>
                    <w:tblStyle w:val="Grigliatabella"/>
                    <w:tblW w:w="10598" w:type="dxa"/>
                    <w:jc w:val="left"/>
                    <w:tblInd w:w="0" w:type="dxa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10598"/>
                  </w:tblGrid>
                  <w:tr>
                    <w:trPr/>
                    <w:tc>
                      <w:tcPr>
                        <w:tcW w:w="10598" w:type="dxa"/>
                        <w:tc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b/>
                            <w:b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CARRIERA (max 15,000 punti)</w:t>
                        </w:r>
                      </w:p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arrotonda periodi superiori ai 15 gg a 1 mesi</w:t>
                        </w:r>
                      </w:p>
                      <w:tbl>
                        <w:tblPr>
                          <w:tblStyle w:val="Grigliatabella"/>
                          <w:tblW w:w="10490" w:type="dxa"/>
                          <w:jc w:val="left"/>
                          <w:tblInd w:w="0" w:type="dxa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  <w:tblLook w:firstRow="1" w:noVBand="1" w:lastRow="0" w:firstColumn="1" w:lastColumn="0" w:noHBand="0" w:val="04a0"/>
                        </w:tblPr>
                        <w:tblGrid>
                          <w:gridCol w:w="702"/>
                          <w:gridCol w:w="4568"/>
                          <w:gridCol w:w="850"/>
                          <w:gridCol w:w="625"/>
                          <w:gridCol w:w="850"/>
                          <w:gridCol w:w="851"/>
                          <w:gridCol w:w="794"/>
                          <w:gridCol w:w="624"/>
                          <w:gridCol w:w="625"/>
                        </w:tblGrid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Cod.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Regola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Punti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x mesi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Tipo calcolo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Unità mis.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Omog.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Sovr.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% val.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Presso ASL/ASO e PA  nel profilo professionale a concorso o qualifiche corrispondenti a  t.pieno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1,200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PRC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mesi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Si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Si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Servizio militare/civile nel profilo professionale a concorso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1,200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PRC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mesi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Si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Si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Servizio militare/civile in altri profili/qualifiche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0,300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PRC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mesi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Si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Si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Presso case di cura conv. nel profilo a concorso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1,200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PRC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mesi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Si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Si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Titolo non valutabile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</w:r>
                      </w:p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10598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b/>
                            <w:b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ACCADEMICI E DI STUDIO (max 4,000 punti)</w:t>
                        </w:r>
                      </w:p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arrotonda periodi superiori ai 0 gg a 0 mesi</w:t>
                        </w:r>
                      </w:p>
                      <w:tbl>
                        <w:tblPr>
                          <w:tblStyle w:val="Grigliatabella"/>
                          <w:tblW w:w="10490" w:type="dxa"/>
                          <w:jc w:val="left"/>
                          <w:tblInd w:w="0" w:type="dxa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  <w:tblLook w:firstRow="1" w:noVBand="1" w:lastRow="0" w:firstColumn="1" w:lastColumn="0" w:noHBand="0" w:val="04a0"/>
                        </w:tblPr>
                        <w:tblGrid>
                          <w:gridCol w:w="702"/>
                          <w:gridCol w:w="4568"/>
                          <w:gridCol w:w="850"/>
                          <w:gridCol w:w="625"/>
                          <w:gridCol w:w="850"/>
                          <w:gridCol w:w="851"/>
                          <w:gridCol w:w="794"/>
                          <w:gridCol w:w="624"/>
                          <w:gridCol w:w="625"/>
                        </w:tblGrid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Cod.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Regola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Punti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x mesi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Tipo calcolo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Unità mis.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Omog.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Sovr.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% val.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Laurea magistrale attinente al profilo a concorso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0,500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EVE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Laurea triennale/diploma universitario attinente al profilo a concorso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0,300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EVE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Dottorato di ricerca attinente al profilo a concorso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0,300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EVE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Master di 2° livello attinente al profilo a concorso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0,200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EVE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Master di 1° livello attinente al profilo a concorso / master coordinamento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0,100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EVE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298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Titolo non valutabile in quanto requisito di ammissione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299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Titolo non valutabile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</w:r>
                      </w:p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10598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b/>
                            <w:b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PUBBLICAZIONI E TITOLI SCIENTIFICI (max 4,000 punti)</w:t>
                        </w:r>
                      </w:p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arrotonda periodi superiori ai 0 gg a 0 mesi</w:t>
                        </w:r>
                      </w:p>
                      <w:tbl>
                        <w:tblPr>
                          <w:tblStyle w:val="Grigliatabella"/>
                          <w:tblW w:w="10490" w:type="dxa"/>
                          <w:jc w:val="left"/>
                          <w:tblInd w:w="0" w:type="dxa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  <w:tblLook w:firstRow="1" w:noVBand="1" w:lastRow="0" w:firstColumn="1" w:lastColumn="0" w:noHBand="0" w:val="04a0"/>
                        </w:tblPr>
                        <w:tblGrid>
                          <w:gridCol w:w="702"/>
                          <w:gridCol w:w="4568"/>
                          <w:gridCol w:w="850"/>
                          <w:gridCol w:w="625"/>
                          <w:gridCol w:w="850"/>
                          <w:gridCol w:w="851"/>
                          <w:gridCol w:w="794"/>
                          <w:gridCol w:w="624"/>
                          <w:gridCol w:w="625"/>
                        </w:tblGrid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Cod.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Regola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Punti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x mesi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Tipo calcolo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Unità mis.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Omog.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Sovr.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% val.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Pubblicazioni su riviste internazionali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0,200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EVE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Pubblicazioni su riviste nazionali/locali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0,100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EVE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350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Abstract, poster comunicazioni a congressi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0,050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EVE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399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Lavori non valutabili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10598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 xml:space="preserve"> </w:t>
                        </w:r>
                      </w:p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b/>
                            <w:b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CURRICULUM FORMATIVO E PROFESSIONALE (max 7,000 punti)</w:t>
                        </w:r>
                      </w:p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  <w:t>arrotonda periodi superiori ai 15 gg a 1 mesi</w:t>
                        </w:r>
                      </w:p>
                      <w:tbl>
                        <w:tblPr>
                          <w:tblStyle w:val="Grigliatabella"/>
                          <w:tblW w:w="10490" w:type="dxa"/>
                          <w:jc w:val="left"/>
                          <w:tblInd w:w="0" w:type="dxa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  <w:tblLook w:firstRow="1" w:noVBand="1" w:lastRow="0" w:firstColumn="1" w:lastColumn="0" w:noHBand="0" w:val="04a0"/>
                        </w:tblPr>
                        <w:tblGrid>
                          <w:gridCol w:w="702"/>
                          <w:gridCol w:w="4568"/>
                          <w:gridCol w:w="850"/>
                          <w:gridCol w:w="625"/>
                          <w:gridCol w:w="850"/>
                          <w:gridCol w:w="851"/>
                          <w:gridCol w:w="794"/>
                          <w:gridCol w:w="624"/>
                          <w:gridCol w:w="625"/>
                        </w:tblGrid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Cod.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Regola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Punti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x mesi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Tipo calcolo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Unità mis.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Omog.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Sovr.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% val.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Servizio presso ASL/ASO e PA con Incarico libero professionale, co.co.co., borse di studio, consulenze, .......  nel profilo professionale a concorso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0,600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PRC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mesi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Si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405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Servizio presso Privati con rapporti di lavoro subordinato o libero professionale nel profilo professionale a concorso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0,300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PRC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mesi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Si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410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Attività di volontariato o tirocinio/stage post laurea nel profilo professionale a concorso presso ASL/ASO e PA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0,120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PRC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mesi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Si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420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Attività di volontariato o tirocinio/stage post laurea nel profilo professionale a concorso presso Privati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0,060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PRC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mesi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Si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430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Attività di docenza a corsi universitari e/o a corsi di formazione professionale attinenti al profilo professionale a concorso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0,001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EVE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ore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Corso come relatore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0,030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EVE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Corso di aggiornamento/formazione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0,050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EVE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Attestati di qualifica professionale / corsi di perfezionamento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0,100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EVE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490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Titoli vari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498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Raporti di lavoro subordinato, libera professione, co.co.co., borse di studio, consulenze ecc. non valutabile per carenza di elementi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PRC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mesi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Si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70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499</w:t>
                              </w:r>
                            </w:p>
                          </w:tc>
                          <w:tc>
                            <w:tcPr>
                              <w:tcW w:w="4568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Titoli non valutabili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62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76" w:before="0" w:after="0"/>
                                <w:rPr>
                                  <w:rFonts w:ascii="Bookman Old Style" w:hAns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6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</w:r>
                      </w:p>
                      <w:p>
                        <w:pPr>
                          <w:pStyle w:val="Normal"/>
                          <w:spacing w:lineRule="auto" w:line="276" w:before="0" w:after="200"/>
                          <w:rPr>
                            <w:rFonts w:ascii="Bookman Old Style" w:hAnsi="Bookman Old Style"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76" w:before="0" w:after="200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</w:tc>
      </w:tr>
    </w:tbl>
    <w:p>
      <w:pPr>
        <w:pStyle w:val="Normal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</w:r>
    </w:p>
    <w:p>
      <w:pPr>
        <w:pStyle w:val="Normal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</w:r>
    </w:p>
    <w:p>
      <w:pPr>
        <w:pStyle w:val="Normal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9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e074e1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b18d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Bookman Old Style" w:hAnsi="Bookman Old Style"/>
      <w:sz w:val="16"/>
    </w:rPr>
  </w:style>
  <w:style w:type="character" w:styleId="ListLabel2">
    <w:name w:val="ListLabel 2"/>
    <w:qFormat/>
    <w:rPr>
      <w:rFonts w:ascii="Bookman Old Style" w:hAnsi="Bookman Old Style"/>
      <w:bCs/>
      <w:sz w:val="16"/>
      <w:szCs w:val="15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b18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01c4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slto4.piemonte.it/FileBandi/bando_dmo_6462.pdf" TargetMode="External"/><Relationship Id="rId3" Type="http://schemas.openxmlformats.org/officeDocument/2006/relationships/hyperlink" Target="https://www.aslto4.piemonte.it/FileBandi/bando_medicina_6463.pdf" TargetMode="External"/><Relationship Id="rId4" Type="http://schemas.openxmlformats.org/officeDocument/2006/relationships/hyperlink" Target="https://www.aslto4.piemonte.it/FileBandi/Pneumologia_6479.pdf" TargetMode="External"/><Relationship Id="rId5" Type="http://schemas.openxmlformats.org/officeDocument/2006/relationships/hyperlink" Target="https://www.aslto4.piemonte.it/FileBandi/Mecau_6480.pdf" TargetMode="External"/><Relationship Id="rId6" Type="http://schemas.openxmlformats.org/officeDocument/2006/relationships/hyperlink" Target="https://www.aslto4.piemonte.it/FileBandi/Bando_6478.pdf" TargetMode="External"/><Relationship Id="rId7" Type="http://schemas.openxmlformats.org/officeDocument/2006/relationships/hyperlink" Target="https://www.aslto4.piemonte.it/FileBandi/anestesia_bando_6475.pdf" TargetMode="External"/><Relationship Id="rId8" Type="http://schemas.openxmlformats.org/officeDocument/2006/relationships/hyperlink" Target="https://www.aslto4.piemonte.it/FileBandi/Bando_6529.pdf" TargetMode="External"/><Relationship Id="rId9" Type="http://schemas.openxmlformats.org/officeDocument/2006/relationships/hyperlink" Target="https://www.aslto4.piemonte.it/FileBandi/Bando_Perito_meccanico_6512.pdf" TargetMode="External"/><Relationship Id="rId10" Type="http://schemas.openxmlformats.org/officeDocument/2006/relationships/hyperlink" Target="https://www.aslto4.piemonte.it/FileBandi/Bando_Perito_elettrotecnico_6513.pdf" TargetMode="External"/><Relationship Id="rId11" Type="http://schemas.openxmlformats.org/officeDocument/2006/relationships/hyperlink" Target="https://www.aslto4.piemonte.it/FileBandi/Bando_Pediatria_6542.pdf" TargetMode="External"/><Relationship Id="rId12" Type="http://schemas.openxmlformats.org/officeDocument/2006/relationships/hyperlink" Target="https://www.aslto4.piemonte.it/FileBandi/Bando_6527.pdf" TargetMode="External"/><Relationship Id="rId13" Type="http://schemas.openxmlformats.org/officeDocument/2006/relationships/hyperlink" Target="https://www.aslto4.piemonte.it/FileBandi/Bando_6538.pdf" TargetMode="External"/><Relationship Id="rId14" Type="http://schemas.openxmlformats.org/officeDocument/2006/relationships/hyperlink" Target="https://www.aslto4.piemonte.it/FileBandi/Bando_Gastroenterologia_6556.pdf" TargetMode="External"/><Relationship Id="rId15" Type="http://schemas.openxmlformats.org/officeDocument/2006/relationships/hyperlink" Target="https://www.aslto4.piemonte.it/FileBandi/Bando_Allergologia_6555.pdf" TargetMode="External"/><Relationship Id="rId16" Type="http://schemas.openxmlformats.org/officeDocument/2006/relationships/hyperlink" Target="https://www.aslto4.piemonte.it/FileBAndi/Prova_1_6555.pdf" TargetMode="External"/><Relationship Id="rId17" Type="http://schemas.openxmlformats.org/officeDocument/2006/relationships/hyperlink" Target="https://www.aslto4.piemonte.it/FileBAndi/Prova2_1_6555.pdf" TargetMode="External"/><Relationship Id="rId18" Type="http://schemas.openxmlformats.org/officeDocument/2006/relationships/hyperlink" Target="https://www.aslto4.piemonte.it/FileBAndi/Prova3_1_6555.pdf" TargetMode="External"/><Relationship Id="rId19" Type="http://schemas.openxmlformats.org/officeDocument/2006/relationships/hyperlink" Target="https://www.aslto4.piemonte.it/FileBandi/Bando_ginecologia_sito_6569.pdf" TargetMode="External"/><Relationship Id="rId20" Type="http://schemas.openxmlformats.org/officeDocument/2006/relationships/hyperlink" Target="https://www.aslto4.piemonte.it/FileBAndi/Pediatria_1_6616.pdf" TargetMode="External"/><Relationship Id="rId21" Type="http://schemas.openxmlformats.org/officeDocument/2006/relationships/hyperlink" Target="https://www.aslto4.piemonte.it/FileBAndi/Ortopedia_1_6615.pdf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LibreOffice/6.1.4.2$Windows_X86_64 LibreOffice_project/9d0f32d1f0b509096fd65e0d4bec26ddd1938fd3</Application>
  <Pages>12</Pages>
  <Words>3678</Words>
  <Characters>21204</Characters>
  <CharactersWithSpaces>23728</CharactersWithSpaces>
  <Paragraphs>1211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2023-08-29T13:29:00Z</dcterms:created>
  <dc:creator>erika.lazzarin</dc:creator>
  <dc:description/>
  <dc:language>it-IT</dc:language>
  <cp:lastModifiedBy/>
  <cp:lastPrinted>2023-09-07T07:35:00Z</cp:lastPrinted>
  <dcterms:modified xsi:type="dcterms:W3CDTF">2023-09-07T16:13:04Z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